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F7" w:rsidRDefault="00D348D3">
      <w:pPr>
        <w:widowControl/>
        <w:shd w:val="clear" w:color="auto" w:fill="FFFFFF"/>
        <w:spacing w:beforeLines="50" w:before="156" w:afterLines="50" w:after="156" w:line="330" w:lineRule="atLeast"/>
        <w:jc w:val="center"/>
        <w:rPr>
          <w:rFonts w:ascii="Calibri" w:eastAsia="黑体" w:hAnsi="Calibri" w:cs="Calibri"/>
          <w:b/>
          <w:bCs/>
          <w:kern w:val="0"/>
          <w:sz w:val="40"/>
          <w:szCs w:val="32"/>
        </w:rPr>
      </w:pPr>
      <w:r>
        <w:rPr>
          <w:rFonts w:ascii="Calibri" w:eastAsia="黑体" w:hAnsi="Calibri" w:cs="Calibri" w:hint="eastAsia"/>
          <w:b/>
          <w:bCs/>
          <w:kern w:val="0"/>
          <w:sz w:val="40"/>
          <w:szCs w:val="32"/>
        </w:rPr>
        <w:t>材料科学与工程学院研究生学业奖学金评定实施细则（试行）</w:t>
      </w:r>
    </w:p>
    <w:p w:rsidR="007778F7" w:rsidRDefault="00D348D3">
      <w:pPr>
        <w:widowControl/>
        <w:shd w:val="clear" w:color="auto" w:fill="FFFFFF"/>
        <w:spacing w:line="330" w:lineRule="atLeast"/>
        <w:jc w:val="center"/>
        <w:rPr>
          <w:rFonts w:ascii="宋体" w:eastAsia="宋体" w:hAnsi="宋体" w:cs="宋体"/>
          <w:kern w:val="0"/>
          <w:sz w:val="20"/>
          <w:szCs w:val="20"/>
        </w:rPr>
      </w:pPr>
      <w:r>
        <w:rPr>
          <w:rFonts w:ascii="宋体" w:eastAsia="宋体" w:hAnsi="宋体" w:cs="宋体" w:hint="eastAsia"/>
          <w:kern w:val="0"/>
          <w:sz w:val="20"/>
          <w:szCs w:val="20"/>
        </w:rPr>
        <w:t> </w:t>
      </w:r>
      <w:r>
        <w:rPr>
          <w:rFonts w:ascii="黑体" w:eastAsia="黑体" w:hAnsi="黑体" w:cs="宋体" w:hint="eastAsia"/>
          <w:b/>
          <w:bCs/>
          <w:kern w:val="0"/>
          <w:sz w:val="32"/>
          <w:szCs w:val="32"/>
        </w:rPr>
        <w:t>第一章</w:t>
      </w:r>
      <w:r>
        <w:rPr>
          <w:rFonts w:ascii="Calibri" w:eastAsia="黑体" w:hAnsi="Calibri" w:cs="Calibri"/>
          <w:b/>
          <w:bCs/>
          <w:kern w:val="0"/>
          <w:sz w:val="32"/>
          <w:szCs w:val="32"/>
        </w:rPr>
        <w:t>  </w:t>
      </w:r>
      <w:r>
        <w:rPr>
          <w:rFonts w:ascii="黑体" w:eastAsia="黑体" w:hAnsi="黑体" w:cs="宋体" w:hint="eastAsia"/>
          <w:b/>
          <w:bCs/>
          <w:kern w:val="0"/>
          <w:sz w:val="32"/>
          <w:szCs w:val="32"/>
        </w:rPr>
        <w:t>总则</w:t>
      </w:r>
    </w:p>
    <w:p w:rsidR="007778F7" w:rsidRDefault="00D348D3">
      <w:pPr>
        <w:widowControl/>
        <w:shd w:val="clear" w:color="auto" w:fill="FFFFFF"/>
        <w:spacing w:line="330" w:lineRule="atLeast"/>
        <w:ind w:firstLine="645"/>
        <w:jc w:val="left"/>
        <w:rPr>
          <w:rFonts w:ascii="宋体" w:eastAsia="宋体" w:hAnsi="宋体" w:cs="宋体"/>
          <w:kern w:val="0"/>
          <w:sz w:val="24"/>
          <w:szCs w:val="24"/>
        </w:rPr>
      </w:pPr>
      <w:r>
        <w:rPr>
          <w:rFonts w:ascii="仿宋_GB2312" w:eastAsia="仿宋_GB2312" w:hAnsi="宋体" w:cs="宋体" w:hint="eastAsia"/>
          <w:b/>
          <w:bCs/>
          <w:kern w:val="0"/>
          <w:sz w:val="32"/>
          <w:szCs w:val="32"/>
        </w:rPr>
        <w:t>第一条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为规范材料科学与工程学院研究生学业奖学金评定标准和工作程序，提高学院研究生培养质量，激励研究生勤奋学习、潜心科研、勇于创新、积极进取，根据财政部、教育部《研究生学业奖学金管理暂行办法》、《南京理工大学研究生奖助体系改革实施方案（试行）》（南理工</w:t>
      </w:r>
      <w:proofErr w:type="gramStart"/>
      <w:r>
        <w:rPr>
          <w:rFonts w:ascii="仿宋_GB2312" w:eastAsia="仿宋_GB2312" w:hAnsi="宋体" w:cs="宋体" w:hint="eastAsia"/>
          <w:kern w:val="0"/>
          <w:sz w:val="32"/>
          <w:szCs w:val="32"/>
        </w:rPr>
        <w:t>研</w:t>
      </w:r>
      <w:proofErr w:type="gramEnd"/>
      <w:r>
        <w:rPr>
          <w:rFonts w:ascii="仿宋_GB2312" w:eastAsia="仿宋_GB2312" w:hAnsi="宋体" w:cs="宋体" w:hint="eastAsia"/>
          <w:kern w:val="0"/>
          <w:sz w:val="32"/>
          <w:szCs w:val="32"/>
        </w:rPr>
        <w:t>[2014]259号文件）</w:t>
      </w:r>
      <w:r>
        <w:rPr>
          <w:rFonts w:ascii="宋体" w:eastAsia="宋体" w:hAnsi="宋体" w:cs="宋体" w:hint="eastAsia"/>
          <w:kern w:val="0"/>
          <w:sz w:val="24"/>
          <w:szCs w:val="24"/>
        </w:rPr>
        <w:t>、</w:t>
      </w:r>
      <w:proofErr w:type="gramStart"/>
      <w:r>
        <w:rPr>
          <w:rFonts w:ascii="仿宋_GB2312" w:eastAsia="仿宋_GB2312" w:hAnsi="宋体" w:cs="宋体" w:hint="eastAsia"/>
          <w:kern w:val="0"/>
          <w:sz w:val="32"/>
          <w:szCs w:val="32"/>
        </w:rPr>
        <w:t>《</w:t>
      </w:r>
      <w:proofErr w:type="gramEnd"/>
      <w:r>
        <w:rPr>
          <w:rFonts w:ascii="仿宋_GB2312" w:eastAsia="仿宋_GB2312" w:hAnsi="宋体" w:cs="宋体" w:hint="eastAsia"/>
          <w:kern w:val="0"/>
          <w:sz w:val="32"/>
          <w:szCs w:val="32"/>
        </w:rPr>
        <w:t>关于印发</w:t>
      </w:r>
      <w:proofErr w:type="gramStart"/>
      <w:r>
        <w:rPr>
          <w:rFonts w:ascii="仿宋_GB2312" w:eastAsia="仿宋_GB2312" w:hAnsi="宋体" w:cs="宋体" w:hint="eastAsia"/>
          <w:kern w:val="0"/>
          <w:sz w:val="32"/>
          <w:szCs w:val="32"/>
        </w:rPr>
        <w:t>《</w:t>
      </w:r>
      <w:proofErr w:type="gramEnd"/>
      <w:r>
        <w:rPr>
          <w:rFonts w:ascii="仿宋_GB2312" w:eastAsia="仿宋_GB2312" w:hAnsi="宋体" w:cs="宋体" w:hint="eastAsia"/>
          <w:kern w:val="0"/>
          <w:sz w:val="32"/>
          <w:szCs w:val="32"/>
        </w:rPr>
        <w:t>研究生奖助工作相关评审和管理办法</w:t>
      </w:r>
      <w:proofErr w:type="gramStart"/>
      <w:r>
        <w:rPr>
          <w:rFonts w:ascii="仿宋_GB2312" w:eastAsia="仿宋_GB2312" w:hAnsi="宋体" w:cs="宋体" w:hint="eastAsia"/>
          <w:kern w:val="0"/>
          <w:sz w:val="32"/>
          <w:szCs w:val="32"/>
        </w:rPr>
        <w:t>》</w:t>
      </w:r>
      <w:proofErr w:type="gramEnd"/>
      <w:r>
        <w:rPr>
          <w:rFonts w:ascii="仿宋_GB2312" w:eastAsia="仿宋_GB2312" w:hAnsi="宋体" w:cs="宋体" w:hint="eastAsia"/>
          <w:kern w:val="0"/>
          <w:sz w:val="32"/>
          <w:szCs w:val="32"/>
        </w:rPr>
        <w:t>的通知</w:t>
      </w:r>
      <w:proofErr w:type="gramStart"/>
      <w:r>
        <w:rPr>
          <w:rFonts w:ascii="仿宋_GB2312" w:eastAsia="仿宋_GB2312" w:hAnsi="宋体" w:cs="宋体" w:hint="eastAsia"/>
          <w:kern w:val="0"/>
          <w:sz w:val="32"/>
          <w:szCs w:val="32"/>
        </w:rPr>
        <w:t>》</w:t>
      </w:r>
      <w:proofErr w:type="gramEnd"/>
      <w:r>
        <w:rPr>
          <w:rFonts w:ascii="仿宋_GB2312" w:eastAsia="仿宋_GB2312" w:hAnsi="宋体" w:cs="宋体" w:hint="eastAsia"/>
          <w:kern w:val="0"/>
          <w:sz w:val="32"/>
          <w:szCs w:val="32"/>
        </w:rPr>
        <w:t>（南理工</w:t>
      </w:r>
      <w:proofErr w:type="gramStart"/>
      <w:r>
        <w:rPr>
          <w:rFonts w:ascii="仿宋_GB2312" w:eastAsia="仿宋_GB2312" w:hAnsi="宋体" w:cs="宋体" w:hint="eastAsia"/>
          <w:kern w:val="0"/>
          <w:sz w:val="32"/>
          <w:szCs w:val="32"/>
        </w:rPr>
        <w:t>研</w:t>
      </w:r>
      <w:proofErr w:type="gramEnd"/>
      <w:r>
        <w:rPr>
          <w:rFonts w:ascii="仿宋_GB2312" w:eastAsia="仿宋_GB2312" w:hAnsi="宋体" w:cs="宋体" w:hint="eastAsia"/>
          <w:kern w:val="0"/>
          <w:sz w:val="32"/>
          <w:szCs w:val="32"/>
        </w:rPr>
        <w:t>[2014]261号文件）及《关于做好2014年研究生奖助学金评审工作的通知》（南理工</w:t>
      </w:r>
      <w:proofErr w:type="gramStart"/>
      <w:r>
        <w:rPr>
          <w:rFonts w:ascii="仿宋_GB2312" w:eastAsia="仿宋_GB2312" w:hAnsi="宋体" w:cs="宋体" w:hint="eastAsia"/>
          <w:kern w:val="0"/>
          <w:sz w:val="32"/>
          <w:szCs w:val="32"/>
        </w:rPr>
        <w:t>研</w:t>
      </w:r>
      <w:proofErr w:type="gramEnd"/>
      <w:r>
        <w:rPr>
          <w:rFonts w:ascii="仿宋_GB2312" w:eastAsia="仿宋_GB2312" w:hAnsi="宋体" w:cs="宋体" w:hint="eastAsia"/>
          <w:kern w:val="0"/>
          <w:sz w:val="32"/>
          <w:szCs w:val="32"/>
        </w:rPr>
        <w:t>[2014]274号文件）的文件精神，结合材料科学与工程学院的实际情况，特制定本实施细则。</w:t>
      </w:r>
    </w:p>
    <w:p w:rsidR="007778F7" w:rsidRDefault="00D348D3">
      <w:pPr>
        <w:widowControl/>
        <w:shd w:val="clear" w:color="auto" w:fill="FFFFFF"/>
        <w:spacing w:line="330" w:lineRule="atLeast"/>
        <w:ind w:firstLine="645"/>
        <w:jc w:val="left"/>
        <w:rPr>
          <w:rFonts w:ascii="宋体" w:eastAsia="宋体" w:hAnsi="宋体" w:cs="宋体"/>
          <w:kern w:val="0"/>
          <w:sz w:val="24"/>
          <w:szCs w:val="24"/>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本评定细则适用对象为在学校规定的标准学制内具有中华人民共和国国籍的非定向就业全日制研究生（包括非在职少数民族高层次骨干人才计划研究生）。</w:t>
      </w:r>
    </w:p>
    <w:p w:rsidR="007778F7" w:rsidRDefault="00D348D3">
      <w:pPr>
        <w:widowControl/>
        <w:shd w:val="clear" w:color="auto" w:fill="FFFFFF"/>
        <w:spacing w:line="330" w:lineRule="atLeast"/>
        <w:ind w:firstLine="645"/>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第三条</w:t>
      </w:r>
      <w:bookmarkStart w:id="0" w:name="OLE_LINK2"/>
      <w:r>
        <w:rPr>
          <w:rFonts w:ascii="仿宋_GB2312" w:eastAsia="仿宋_GB2312" w:hAnsi="宋体" w:cs="宋体" w:hint="eastAsia"/>
          <w:kern w:val="0"/>
          <w:sz w:val="32"/>
          <w:szCs w:val="32"/>
        </w:rPr>
        <w:t>  </w:t>
      </w:r>
      <w:bookmarkEnd w:id="0"/>
      <w:r>
        <w:rPr>
          <w:rFonts w:ascii="仿宋_GB2312" w:eastAsia="仿宋_GB2312" w:hAnsi="宋体" w:cs="宋体" w:hint="eastAsia"/>
          <w:kern w:val="0"/>
          <w:sz w:val="32"/>
          <w:szCs w:val="32"/>
        </w:rPr>
        <w:t>学院成立奖学金评定工作领导小组、评审委员会、申诉委员会，负责本院奖学金评定工作。上述组织由学院书记、分管研究生副院长、副书记、研究生教务员、研究生辅导员、导师代表、学生代表等组成。</w:t>
      </w:r>
    </w:p>
    <w:p w:rsidR="007778F7" w:rsidRDefault="007778F7">
      <w:pPr>
        <w:widowControl/>
        <w:shd w:val="clear" w:color="auto" w:fill="FFFFFF"/>
        <w:spacing w:line="330" w:lineRule="atLeast"/>
        <w:ind w:firstLine="645"/>
        <w:jc w:val="left"/>
        <w:rPr>
          <w:rFonts w:ascii="仿宋_GB2312" w:eastAsia="仿宋_GB2312" w:hAnsi="宋体" w:cs="宋体"/>
          <w:kern w:val="0"/>
          <w:sz w:val="32"/>
          <w:szCs w:val="32"/>
        </w:rPr>
      </w:pPr>
    </w:p>
    <w:p w:rsidR="007778F7" w:rsidRDefault="007778F7">
      <w:pPr>
        <w:widowControl/>
        <w:shd w:val="clear" w:color="auto" w:fill="FFFFFF"/>
        <w:spacing w:line="330" w:lineRule="atLeast"/>
        <w:ind w:firstLine="645"/>
        <w:jc w:val="left"/>
        <w:rPr>
          <w:rFonts w:ascii="宋体" w:eastAsia="宋体" w:hAnsi="宋体" w:cs="宋体"/>
          <w:kern w:val="0"/>
          <w:sz w:val="24"/>
          <w:szCs w:val="24"/>
        </w:rPr>
      </w:pP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黑体" w:eastAsia="黑体" w:hAnsi="黑体" w:cs="宋体" w:hint="eastAsia"/>
          <w:b/>
          <w:bCs/>
          <w:kern w:val="0"/>
          <w:sz w:val="32"/>
          <w:szCs w:val="32"/>
        </w:rPr>
        <w:lastRenderedPageBreak/>
        <w:t>第二章</w:t>
      </w:r>
      <w:r>
        <w:rPr>
          <w:rFonts w:ascii="Calibri" w:eastAsia="黑体" w:hAnsi="Calibri" w:cs="Calibri"/>
          <w:b/>
          <w:bCs/>
          <w:kern w:val="0"/>
          <w:sz w:val="32"/>
          <w:szCs w:val="32"/>
        </w:rPr>
        <w:t>  </w:t>
      </w:r>
      <w:r>
        <w:rPr>
          <w:rFonts w:ascii="黑体" w:eastAsia="黑体" w:hAnsi="黑体" w:cs="宋体" w:hint="eastAsia"/>
          <w:b/>
          <w:bCs/>
          <w:kern w:val="0"/>
          <w:sz w:val="32"/>
          <w:szCs w:val="32"/>
        </w:rPr>
        <w:t>等级、比例和标准</w:t>
      </w:r>
    </w:p>
    <w:p w:rsidR="007778F7" w:rsidRDefault="00D348D3">
      <w:pPr>
        <w:widowControl/>
        <w:shd w:val="clear" w:color="auto" w:fill="FFFFFF"/>
        <w:spacing w:line="330" w:lineRule="atLeast"/>
        <w:ind w:firstLine="645"/>
        <w:jc w:val="left"/>
        <w:rPr>
          <w:rFonts w:ascii="宋体" w:eastAsia="宋体" w:hAnsi="宋体" w:cs="宋体"/>
          <w:kern w:val="0"/>
          <w:sz w:val="24"/>
          <w:szCs w:val="24"/>
        </w:rPr>
      </w:pPr>
      <w:r>
        <w:rPr>
          <w:rFonts w:ascii="仿宋_GB2312" w:eastAsia="仿宋_GB2312" w:hAnsi="宋体" w:cs="宋体" w:hint="eastAsia"/>
          <w:kern w:val="0"/>
          <w:sz w:val="32"/>
          <w:szCs w:val="32"/>
        </w:rPr>
        <w:t>研究生奖学金等级、评定比例和发放标准按《南京理工大学研究生学业奖学金评审办法》的规定执行。</w:t>
      </w:r>
    </w:p>
    <w:p w:rsidR="007778F7" w:rsidRDefault="00D348D3">
      <w:pPr>
        <w:widowControl/>
        <w:shd w:val="clear" w:color="auto" w:fill="FFFFFF"/>
        <w:spacing w:line="330" w:lineRule="atLeast"/>
        <w:ind w:firstLine="645"/>
        <w:jc w:val="left"/>
        <w:rPr>
          <w:rFonts w:ascii="宋体" w:eastAsia="宋体" w:hAnsi="宋体" w:cs="宋体"/>
          <w:kern w:val="0"/>
          <w:sz w:val="24"/>
          <w:szCs w:val="24"/>
        </w:rPr>
      </w:pPr>
      <w:r>
        <w:rPr>
          <w:rFonts w:ascii="仿宋_GB2312" w:eastAsia="仿宋_GB2312" w:hAnsi="宋体" w:cs="宋体" w:hint="eastAsia"/>
          <w:b/>
          <w:bCs/>
          <w:kern w:val="0"/>
          <w:sz w:val="32"/>
          <w:szCs w:val="32"/>
        </w:rPr>
        <w:t>第四条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博士研究生学业奖学金等级、比例和标准为：</w:t>
      </w:r>
    </w:p>
    <w:tbl>
      <w:tblPr>
        <w:tblW w:w="9075" w:type="dxa"/>
        <w:tblCellMar>
          <w:left w:w="0" w:type="dxa"/>
          <w:right w:w="0" w:type="dxa"/>
        </w:tblCellMar>
        <w:tblLook w:val="04A0" w:firstRow="1" w:lastRow="0" w:firstColumn="1" w:lastColumn="0" w:noHBand="0" w:noVBand="1"/>
      </w:tblPr>
      <w:tblGrid>
        <w:gridCol w:w="2269"/>
        <w:gridCol w:w="2268"/>
        <w:gridCol w:w="1315"/>
        <w:gridCol w:w="3223"/>
      </w:tblGrid>
      <w:tr w:rsidR="007778F7">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年级</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等级</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比例</w:t>
            </w: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学业奖学金（元/年）</w:t>
            </w:r>
          </w:p>
        </w:tc>
      </w:tr>
      <w:tr w:rsidR="007778F7">
        <w:tc>
          <w:tcPr>
            <w:tcW w:w="21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一年级博士</w:t>
            </w:r>
          </w:p>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研究生</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一等</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50%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16000</w:t>
            </w:r>
          </w:p>
        </w:tc>
      </w:tr>
      <w:tr w:rsidR="007778F7">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二等</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50%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10000</w:t>
            </w:r>
          </w:p>
        </w:tc>
      </w:tr>
      <w:tr w:rsidR="007778F7">
        <w:tc>
          <w:tcPr>
            <w:tcW w:w="21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其他年级博士</w:t>
            </w:r>
          </w:p>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研究生</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一等</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18000</w:t>
            </w:r>
          </w:p>
        </w:tc>
      </w:tr>
      <w:tr w:rsidR="007778F7">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二等</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50%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12000</w:t>
            </w:r>
          </w:p>
        </w:tc>
      </w:tr>
      <w:tr w:rsidR="007778F7">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三等</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8000</w:t>
            </w:r>
          </w:p>
        </w:tc>
      </w:tr>
    </w:tbl>
    <w:p w:rsidR="007778F7" w:rsidRDefault="00D348D3">
      <w:pPr>
        <w:widowControl/>
        <w:shd w:val="clear" w:color="auto" w:fill="FFFFFF"/>
        <w:spacing w:line="330" w:lineRule="atLeast"/>
        <w:jc w:val="left"/>
        <w:rPr>
          <w:rFonts w:ascii="宋体" w:eastAsia="宋体" w:hAnsi="宋体" w:cs="宋体"/>
          <w:kern w:val="0"/>
          <w:sz w:val="24"/>
          <w:szCs w:val="24"/>
        </w:rPr>
      </w:pPr>
      <w:r>
        <w:rPr>
          <w:rFonts w:ascii="仿宋_GB2312" w:eastAsia="仿宋_GB2312" w:hAnsi="宋体" w:cs="宋体" w:hint="eastAsia"/>
          <w:kern w:val="0"/>
          <w:sz w:val="32"/>
          <w:szCs w:val="32"/>
        </w:rPr>
        <w:t>  </w:t>
      </w: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硕士研究生学业奖学金等级、比例和标准为：</w:t>
      </w:r>
    </w:p>
    <w:tbl>
      <w:tblPr>
        <w:tblW w:w="9075" w:type="dxa"/>
        <w:tblCellMar>
          <w:left w:w="0" w:type="dxa"/>
          <w:right w:w="0" w:type="dxa"/>
        </w:tblCellMar>
        <w:tblLook w:val="04A0" w:firstRow="1" w:lastRow="0" w:firstColumn="1" w:lastColumn="0" w:noHBand="0" w:noVBand="1"/>
      </w:tblPr>
      <w:tblGrid>
        <w:gridCol w:w="2269"/>
        <w:gridCol w:w="2268"/>
        <w:gridCol w:w="1315"/>
        <w:gridCol w:w="3223"/>
      </w:tblGrid>
      <w:tr w:rsidR="007778F7">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年级</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等级</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比例</w:t>
            </w: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学业奖学金（元/年）</w:t>
            </w:r>
          </w:p>
        </w:tc>
      </w:tr>
      <w:tr w:rsidR="007778F7">
        <w:tc>
          <w:tcPr>
            <w:tcW w:w="21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一年级硕士</w:t>
            </w:r>
          </w:p>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研究生</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一等</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50%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8000</w:t>
            </w:r>
          </w:p>
        </w:tc>
      </w:tr>
      <w:tr w:rsidR="007778F7">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二等</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6000</w:t>
            </w:r>
          </w:p>
        </w:tc>
      </w:tr>
      <w:tr w:rsidR="007778F7">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三等</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2000</w:t>
            </w:r>
          </w:p>
        </w:tc>
      </w:tr>
      <w:tr w:rsidR="007778F7">
        <w:tc>
          <w:tcPr>
            <w:tcW w:w="21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其他年级硕士</w:t>
            </w:r>
          </w:p>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研究生</w:t>
            </w:r>
          </w:p>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（三年级标准折半计算）</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一等</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10000</w:t>
            </w:r>
          </w:p>
        </w:tc>
      </w:tr>
      <w:tr w:rsidR="007778F7">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二等</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8000</w:t>
            </w:r>
          </w:p>
        </w:tc>
      </w:tr>
      <w:tr w:rsidR="007778F7">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三等</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6000</w:t>
            </w:r>
          </w:p>
        </w:tc>
      </w:tr>
      <w:tr w:rsidR="007778F7">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 </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r>
    </w:tbl>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黑体" w:eastAsia="黑体" w:hAnsi="黑体" w:cs="宋体" w:hint="eastAsia"/>
          <w:b/>
          <w:bCs/>
          <w:kern w:val="0"/>
          <w:sz w:val="32"/>
          <w:szCs w:val="32"/>
        </w:rPr>
        <w:t>第三章</w:t>
      </w:r>
      <w:r>
        <w:rPr>
          <w:rFonts w:ascii="Calibri" w:eastAsia="黑体" w:hAnsi="Calibri" w:cs="Calibri"/>
          <w:b/>
          <w:bCs/>
          <w:kern w:val="0"/>
          <w:sz w:val="32"/>
          <w:szCs w:val="32"/>
        </w:rPr>
        <w:t>  </w:t>
      </w:r>
      <w:r>
        <w:rPr>
          <w:rFonts w:ascii="黑体" w:eastAsia="黑体" w:hAnsi="黑体" w:cs="宋体" w:hint="eastAsia"/>
          <w:b/>
          <w:bCs/>
          <w:kern w:val="0"/>
          <w:sz w:val="32"/>
          <w:szCs w:val="32"/>
        </w:rPr>
        <w:t>硕士研究生奖学金评定办法</w:t>
      </w:r>
    </w:p>
    <w:p w:rsidR="007778F7" w:rsidRDefault="00D348D3">
      <w:pPr>
        <w:widowControl/>
        <w:shd w:val="clear" w:color="auto" w:fill="FFFFFF"/>
        <w:spacing w:line="330" w:lineRule="atLeast"/>
        <w:ind w:firstLine="645"/>
        <w:jc w:val="left"/>
        <w:rPr>
          <w:rFonts w:ascii="宋体" w:eastAsia="宋体" w:hAnsi="宋体" w:cs="宋体"/>
          <w:kern w:val="0"/>
          <w:sz w:val="24"/>
          <w:szCs w:val="24"/>
        </w:rPr>
      </w:pPr>
      <w:r>
        <w:rPr>
          <w:rFonts w:ascii="仿宋_GB2312" w:eastAsia="仿宋_GB2312" w:hAnsi="宋体" w:cs="宋体" w:hint="eastAsia"/>
          <w:b/>
          <w:bCs/>
          <w:kern w:val="0"/>
          <w:sz w:val="32"/>
          <w:szCs w:val="32"/>
        </w:rPr>
        <w:t>第六条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硕士研究生第一学年学业奖学金评定安排在入学前完成，根据入学成绩确定获奖等级，在入学通知书中通知研究生。具体评定办法和程序如下：</w:t>
      </w:r>
    </w:p>
    <w:p w:rsidR="007778F7" w:rsidRDefault="00D348D3">
      <w:pPr>
        <w:widowControl/>
        <w:shd w:val="clear" w:color="auto" w:fill="FFFFFF"/>
        <w:spacing w:line="330" w:lineRule="atLeast"/>
        <w:ind w:firstLine="645"/>
        <w:jc w:val="left"/>
        <w:rPr>
          <w:rFonts w:ascii="宋体" w:eastAsia="宋体" w:hAnsi="宋体" w:cs="宋体"/>
          <w:kern w:val="0"/>
          <w:sz w:val="24"/>
          <w:szCs w:val="24"/>
        </w:rPr>
      </w:pPr>
      <w:r>
        <w:rPr>
          <w:rFonts w:ascii="仿宋_GB2312" w:eastAsia="仿宋_GB2312" w:hAnsi="宋体" w:cs="宋体" w:hint="eastAsia"/>
          <w:kern w:val="0"/>
          <w:sz w:val="32"/>
          <w:szCs w:val="32"/>
        </w:rPr>
        <w:t>1.</w:t>
      </w:r>
      <w:r>
        <w:rPr>
          <w:rFonts w:ascii="宋体" w:eastAsia="宋体" w:hAnsi="宋体" w:cs="宋体" w:hint="eastAsia"/>
          <w:kern w:val="0"/>
          <w:sz w:val="24"/>
          <w:szCs w:val="24"/>
        </w:rPr>
        <w:t> </w:t>
      </w:r>
      <w:r>
        <w:rPr>
          <w:rFonts w:ascii="仿宋_GB2312" w:eastAsia="仿宋_GB2312" w:hAnsi="宋体" w:cs="宋体" w:hint="eastAsia"/>
          <w:kern w:val="0"/>
          <w:sz w:val="32"/>
          <w:szCs w:val="32"/>
        </w:rPr>
        <w:t>将硕士一年级学生分为免试生和统考生两类；</w:t>
      </w:r>
    </w:p>
    <w:p w:rsidR="007778F7" w:rsidRDefault="00D348D3">
      <w:pPr>
        <w:widowControl/>
        <w:shd w:val="clear" w:color="auto" w:fill="FFFFFF"/>
        <w:spacing w:line="293" w:lineRule="atLeas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校内外推免生单独排序，原则上可获得一等奖学金；</w:t>
      </w:r>
    </w:p>
    <w:p w:rsidR="007778F7" w:rsidRDefault="00D348D3">
      <w:pPr>
        <w:widowControl/>
        <w:shd w:val="clear" w:color="auto" w:fill="FFFFFF"/>
        <w:spacing w:line="293" w:lineRule="atLeas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lastRenderedPageBreak/>
        <w:t>3.</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统考生按学术型和专业学位分为两类，各自按考试总成绩（初试成绩+复试成绩）排序，根据比例确定奖学金等级。其中，经我校招生宣传活动考核选拔的优秀学生原则上可获得二等及以上等级奖学金。</w:t>
      </w:r>
    </w:p>
    <w:p w:rsidR="007778F7" w:rsidRDefault="00D348D3">
      <w:pPr>
        <w:widowControl/>
        <w:shd w:val="clear" w:color="auto" w:fill="FFFFFF"/>
        <w:spacing w:line="293" w:lineRule="atLeas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公示无异议后确定各研究生学业奖学金等级报研究生院核准。</w:t>
      </w:r>
    </w:p>
    <w:p w:rsidR="007778F7" w:rsidRDefault="00D348D3">
      <w:pPr>
        <w:widowControl/>
        <w:shd w:val="clear" w:color="auto" w:fill="FFFFFF"/>
        <w:spacing w:line="293" w:lineRule="atLeast"/>
        <w:ind w:firstLine="480"/>
        <w:jc w:val="left"/>
        <w:rPr>
          <w:rFonts w:ascii="宋体" w:eastAsia="宋体" w:hAnsi="宋体" w:cs="宋体"/>
          <w:kern w:val="0"/>
          <w:sz w:val="24"/>
          <w:szCs w:val="24"/>
        </w:rPr>
      </w:pPr>
      <w:r>
        <w:rPr>
          <w:rFonts w:ascii="仿宋_GB2312" w:eastAsia="仿宋_GB2312" w:hAnsi="宋体" w:cs="宋体" w:hint="eastAsia"/>
          <w:b/>
          <w:bCs/>
          <w:kern w:val="0"/>
          <w:sz w:val="32"/>
          <w:szCs w:val="32"/>
        </w:rPr>
        <w:t>第七条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第二、三学年研究生学业奖学金评定在每年9月份进行。主要依据研究生思想品德、课程学习、科研实践、创新能力和社会活动情况等五个方面进行评定。其中，研究生思想品德是研究生学业奖学金评选的基本条件，思想品德考核合格的研究生才有资格获得学业奖学金。对思想品德考核合格的研究生再依据课程学习、科研实践、创新能力和社会活动等四方面情况采取综合计分制进行奖学金等级评定。课程成绩、科研实践、创新能力和社会活动所占权重如下图所示：</w:t>
      </w:r>
    </w:p>
    <w:p w:rsidR="007778F7" w:rsidRDefault="00D348D3">
      <w:pPr>
        <w:widowControl/>
        <w:shd w:val="clear" w:color="auto" w:fill="FFFFFF"/>
        <w:spacing w:line="293" w:lineRule="atLeast"/>
        <w:ind w:firstLine="720"/>
        <w:jc w:val="center"/>
        <w:rPr>
          <w:rFonts w:ascii="宋体" w:eastAsia="宋体" w:hAnsi="宋体" w:cs="宋体"/>
          <w:kern w:val="0"/>
          <w:sz w:val="20"/>
          <w:szCs w:val="20"/>
        </w:rPr>
      </w:pPr>
      <w:r>
        <w:rPr>
          <w:rFonts w:ascii="仿宋_GB2312" w:eastAsia="仿宋_GB2312" w:hAnsi="宋体" w:cs="宋体" w:hint="eastAsia"/>
          <w:kern w:val="0"/>
          <w:sz w:val="32"/>
          <w:szCs w:val="32"/>
        </w:rPr>
        <w:t>学业奖学金各部分评定内容所占比例</w:t>
      </w:r>
    </w:p>
    <w:tbl>
      <w:tblPr>
        <w:tblW w:w="9288" w:type="dxa"/>
        <w:jc w:val="center"/>
        <w:tblCellMar>
          <w:left w:w="0" w:type="dxa"/>
          <w:right w:w="0" w:type="dxa"/>
        </w:tblCellMar>
        <w:tblLook w:val="04A0" w:firstRow="1" w:lastRow="0" w:firstColumn="1" w:lastColumn="0" w:noHBand="0" w:noVBand="1"/>
      </w:tblPr>
      <w:tblGrid>
        <w:gridCol w:w="828"/>
        <w:gridCol w:w="3060"/>
        <w:gridCol w:w="2880"/>
        <w:gridCol w:w="2520"/>
      </w:tblGrid>
      <w:tr w:rsidR="007778F7">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序号</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项目</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第二学年学业奖学金评定各部分所占权重</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第三学年学业奖学金评定各部分所占权重</w:t>
            </w:r>
          </w:p>
        </w:tc>
      </w:tr>
      <w:tr w:rsidR="007778F7">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课程学习</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40%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w:t>
            </w:r>
          </w:p>
        </w:tc>
      </w:tr>
      <w:tr w:rsidR="007778F7">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2</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科研实践</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20%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20%</w:t>
            </w:r>
          </w:p>
        </w:tc>
      </w:tr>
      <w:tr w:rsidR="007778F7">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3</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创新能力</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30%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60%</w:t>
            </w:r>
          </w:p>
        </w:tc>
      </w:tr>
      <w:tr w:rsidR="007778F7">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4</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社会活动情况</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w:t>
            </w:r>
          </w:p>
        </w:tc>
      </w:tr>
      <w:tr w:rsidR="007778F7">
        <w:trPr>
          <w:jc w:val="center"/>
        </w:trPr>
        <w:tc>
          <w:tcPr>
            <w:tcW w:w="38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合计</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100%</w:t>
            </w:r>
          </w:p>
        </w:tc>
      </w:tr>
      <w:tr w:rsidR="007778F7">
        <w:trPr>
          <w:jc w:val="center"/>
        </w:trPr>
        <w:tc>
          <w:tcPr>
            <w:tcW w:w="92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left"/>
              <w:rPr>
                <w:rFonts w:ascii="宋体" w:eastAsia="宋体" w:hAnsi="宋体" w:cs="宋体"/>
                <w:kern w:val="0"/>
                <w:sz w:val="24"/>
                <w:szCs w:val="24"/>
              </w:rPr>
            </w:pPr>
            <w:r>
              <w:rPr>
                <w:rFonts w:ascii="仿宋_GB2312" w:eastAsia="仿宋_GB2312" w:hAnsi="宋体" w:cs="宋体" w:hint="eastAsia"/>
                <w:kern w:val="0"/>
                <w:sz w:val="22"/>
              </w:rPr>
              <w:lastRenderedPageBreak/>
              <w:t>说明：研究生第二学年学业奖学金评定依据是研究生第一学年的课程学习成绩、科研实践、创新能力和社会活动情况进行评定。研究生第三学年学业奖学金评定依据是研究生第二学年的选修课程情况、科研实践、创新能力和社会活动情况进行评定。</w:t>
            </w:r>
          </w:p>
        </w:tc>
      </w:tr>
    </w:tbl>
    <w:p w:rsidR="007778F7" w:rsidRDefault="007778F7">
      <w:pPr>
        <w:widowControl/>
        <w:shd w:val="clear" w:color="auto" w:fill="FFFFFF"/>
        <w:spacing w:line="293" w:lineRule="atLeast"/>
        <w:ind w:firstLine="480"/>
        <w:jc w:val="left"/>
        <w:rPr>
          <w:rFonts w:ascii="仿宋_GB2312" w:eastAsia="仿宋_GB2312" w:hAnsi="宋体" w:cs="宋体"/>
          <w:b/>
          <w:bCs/>
          <w:kern w:val="0"/>
          <w:sz w:val="32"/>
          <w:szCs w:val="32"/>
        </w:rPr>
      </w:pPr>
    </w:p>
    <w:p w:rsidR="007778F7" w:rsidRDefault="00D348D3">
      <w:pPr>
        <w:widowControl/>
        <w:shd w:val="clear" w:color="auto" w:fill="FFFFFF"/>
        <w:spacing w:line="293" w:lineRule="atLeast"/>
        <w:ind w:firstLine="480"/>
        <w:jc w:val="left"/>
        <w:rPr>
          <w:rFonts w:ascii="宋体" w:eastAsia="宋体" w:hAnsi="宋体" w:cs="宋体"/>
          <w:kern w:val="0"/>
          <w:sz w:val="24"/>
          <w:szCs w:val="24"/>
        </w:rPr>
      </w:pPr>
      <w:r>
        <w:rPr>
          <w:rFonts w:ascii="仿宋_GB2312" w:eastAsia="仿宋_GB2312" w:hAnsi="宋体" w:cs="宋体" w:hint="eastAsia"/>
          <w:b/>
          <w:bCs/>
          <w:kern w:val="0"/>
          <w:sz w:val="32"/>
          <w:szCs w:val="32"/>
        </w:rPr>
        <w:t>（一）研究生思想品德考核</w:t>
      </w:r>
    </w:p>
    <w:p w:rsidR="007778F7" w:rsidRDefault="00D348D3">
      <w:pPr>
        <w:widowControl/>
        <w:shd w:val="clear" w:color="auto" w:fill="FFFFFF"/>
        <w:spacing w:line="293" w:lineRule="atLeast"/>
        <w:ind w:firstLine="480"/>
        <w:jc w:val="left"/>
        <w:rPr>
          <w:rFonts w:ascii="宋体" w:eastAsia="宋体" w:hAnsi="宋体" w:cs="宋体"/>
          <w:kern w:val="0"/>
          <w:sz w:val="24"/>
          <w:szCs w:val="24"/>
        </w:rPr>
      </w:pPr>
      <w:r>
        <w:rPr>
          <w:rFonts w:ascii="仿宋_GB2312" w:eastAsia="仿宋_GB2312" w:hAnsi="宋体" w:cs="宋体" w:hint="eastAsia"/>
          <w:kern w:val="0"/>
          <w:sz w:val="32"/>
          <w:szCs w:val="32"/>
        </w:rPr>
        <w:t>研究生思想品德考核由研究生所在班级进行考核，主要考核研究生政治素质、品德修养、团队合作精神、遵守法律法规与学校规章制度情况和学术行为等方面。研究生所在班级班委对班级所有研究生的思想品德进行考核，并出具考核结果，上报至学院。有下列情况之一的研究生，思想品德考核为不合格，取消学业奖学金评定资格：</w:t>
      </w:r>
    </w:p>
    <w:p w:rsidR="007778F7" w:rsidRDefault="00D348D3">
      <w:pPr>
        <w:widowControl/>
        <w:shd w:val="clear" w:color="auto" w:fill="FFFFFF"/>
        <w:spacing w:line="293" w:lineRule="atLeast"/>
        <w:ind w:firstLine="720"/>
        <w:jc w:val="left"/>
        <w:rPr>
          <w:rFonts w:ascii="宋体" w:eastAsia="宋体" w:hAnsi="宋体" w:cs="宋体"/>
          <w:kern w:val="0"/>
          <w:sz w:val="20"/>
          <w:szCs w:val="20"/>
        </w:rPr>
      </w:pPr>
      <w:r>
        <w:rPr>
          <w:rFonts w:ascii="仿宋_GB2312" w:eastAsia="仿宋_GB2312" w:hAnsi="宋体" w:cs="宋体" w:hint="eastAsia"/>
          <w:kern w:val="0"/>
          <w:sz w:val="32"/>
          <w:szCs w:val="32"/>
        </w:rPr>
        <w:t>（1）受到国家和学校行政处分的研究生；</w:t>
      </w:r>
    </w:p>
    <w:p w:rsidR="007778F7" w:rsidRDefault="00D348D3">
      <w:pPr>
        <w:widowControl/>
        <w:shd w:val="clear" w:color="auto" w:fill="FFFFFF"/>
        <w:spacing w:line="293" w:lineRule="atLeast"/>
        <w:ind w:firstLine="720"/>
        <w:jc w:val="left"/>
        <w:rPr>
          <w:rFonts w:ascii="宋体" w:eastAsia="宋体" w:hAnsi="宋体" w:cs="宋体"/>
          <w:kern w:val="0"/>
          <w:sz w:val="20"/>
          <w:szCs w:val="20"/>
        </w:rPr>
      </w:pPr>
      <w:r>
        <w:rPr>
          <w:rFonts w:ascii="仿宋_GB2312" w:eastAsia="仿宋_GB2312" w:hAnsi="宋体" w:cs="宋体" w:hint="eastAsia"/>
          <w:kern w:val="0"/>
          <w:sz w:val="32"/>
          <w:szCs w:val="32"/>
        </w:rPr>
        <w:t>（2）经查实有学术不端行为的研究生。</w:t>
      </w:r>
    </w:p>
    <w:p w:rsidR="007778F7" w:rsidRDefault="00D348D3">
      <w:pPr>
        <w:widowControl/>
        <w:shd w:val="clear" w:color="auto" w:fill="FFFFFF"/>
        <w:spacing w:line="293" w:lineRule="atLeast"/>
        <w:ind w:firstLine="480"/>
        <w:jc w:val="left"/>
        <w:rPr>
          <w:rFonts w:ascii="宋体" w:eastAsia="宋体" w:hAnsi="宋体" w:cs="宋体"/>
          <w:kern w:val="0"/>
          <w:sz w:val="24"/>
          <w:szCs w:val="24"/>
        </w:rPr>
      </w:pPr>
      <w:r>
        <w:rPr>
          <w:rFonts w:ascii="仿宋_GB2312" w:eastAsia="仿宋_GB2312" w:hAnsi="宋体" w:cs="宋体" w:hint="eastAsia"/>
          <w:b/>
          <w:bCs/>
          <w:kern w:val="0"/>
          <w:sz w:val="32"/>
          <w:szCs w:val="32"/>
        </w:rPr>
        <w:t>（二）课程学习、科研实践、创新能力和社会活动考核计分办法</w:t>
      </w:r>
    </w:p>
    <w:p w:rsidR="007778F7" w:rsidRDefault="00D348D3">
      <w:pPr>
        <w:widowControl/>
        <w:shd w:val="clear" w:color="auto" w:fill="FFFFFF"/>
        <w:spacing w:line="293" w:lineRule="atLeast"/>
        <w:ind w:firstLine="723"/>
        <w:jc w:val="left"/>
        <w:rPr>
          <w:rFonts w:ascii="宋体" w:eastAsia="宋体" w:hAnsi="宋体" w:cs="宋体"/>
          <w:kern w:val="0"/>
          <w:sz w:val="20"/>
          <w:szCs w:val="20"/>
        </w:rPr>
      </w:pPr>
      <w:r>
        <w:rPr>
          <w:rFonts w:ascii="仿宋_GB2312" w:eastAsia="仿宋_GB2312" w:hAnsi="宋体" w:cs="宋体" w:hint="eastAsia"/>
          <w:b/>
          <w:bCs/>
          <w:kern w:val="0"/>
          <w:sz w:val="32"/>
          <w:szCs w:val="32"/>
        </w:rPr>
        <w:t>1.课程学习考核计分办法</w:t>
      </w:r>
    </w:p>
    <w:p w:rsidR="00D348D3" w:rsidRPr="00A431B1" w:rsidRDefault="00D348D3" w:rsidP="00D348D3">
      <w:pPr>
        <w:widowControl/>
        <w:shd w:val="clear" w:color="auto" w:fill="FFFFFF"/>
        <w:spacing w:line="293" w:lineRule="atLeast"/>
        <w:ind w:firstLine="720"/>
        <w:rPr>
          <w:rFonts w:ascii="宋体" w:eastAsia="宋体" w:hAnsi="宋体" w:cs="宋体"/>
          <w:kern w:val="0"/>
          <w:sz w:val="20"/>
          <w:szCs w:val="20"/>
        </w:rPr>
      </w:pPr>
      <w:r w:rsidRPr="00A431B1">
        <w:rPr>
          <w:rFonts w:ascii="仿宋_GB2312" w:eastAsia="仿宋_GB2312" w:hAnsi="宋体" w:cs="宋体" w:hint="eastAsia"/>
          <w:kern w:val="0"/>
          <w:sz w:val="32"/>
          <w:szCs w:val="32"/>
        </w:rPr>
        <w:t>硕士培养计划中的所有课程均列入计算范围，补考或不及格者、</w:t>
      </w:r>
      <w:proofErr w:type="gramStart"/>
      <w:r w:rsidRPr="00A431B1">
        <w:rPr>
          <w:rFonts w:ascii="仿宋_GB2312" w:eastAsia="仿宋_GB2312" w:hAnsi="宋体" w:cs="宋体" w:hint="eastAsia"/>
          <w:kern w:val="0"/>
          <w:sz w:val="32"/>
          <w:szCs w:val="32"/>
        </w:rPr>
        <w:t>教务员处</w:t>
      </w:r>
      <w:proofErr w:type="gramEnd"/>
      <w:r w:rsidRPr="00A431B1">
        <w:rPr>
          <w:rFonts w:ascii="仿宋_GB2312" w:eastAsia="仿宋_GB2312" w:hAnsi="宋体" w:cs="宋体" w:hint="eastAsia"/>
          <w:kern w:val="0"/>
          <w:sz w:val="32"/>
          <w:szCs w:val="32"/>
        </w:rPr>
        <w:t>未收到试卷或答题册者，成绩一律计为0分。</w:t>
      </w:r>
    </w:p>
    <w:p w:rsidR="00D348D3" w:rsidRDefault="00D348D3" w:rsidP="00D348D3">
      <w:pPr>
        <w:widowControl/>
        <w:shd w:val="clear" w:color="auto" w:fill="FFFFFF"/>
        <w:spacing w:line="293" w:lineRule="atLeast"/>
        <w:ind w:leftChars="100" w:left="530" w:hangingChars="100" w:hanging="320"/>
        <w:jc w:val="left"/>
        <w:rPr>
          <w:rFonts w:ascii="仿宋_GB2312" w:eastAsia="仿宋_GB2312" w:hAnsi="宋体" w:cs="宋体"/>
          <w:kern w:val="0"/>
          <w:sz w:val="32"/>
          <w:szCs w:val="32"/>
        </w:rPr>
      </w:pPr>
      <w:r w:rsidRPr="00A431B1">
        <w:rPr>
          <w:rFonts w:ascii="仿宋_GB2312" w:eastAsia="仿宋_GB2312" w:hAnsi="宋体" w:cs="宋体" w:hint="eastAsia"/>
          <w:kern w:val="0"/>
          <w:sz w:val="32"/>
          <w:szCs w:val="32"/>
        </w:rPr>
        <w:t>课程成绩得分=</w:t>
      </w:r>
      <w:r w:rsidR="00864649">
        <w:rPr>
          <w:rFonts w:ascii="仿宋_GB2312" w:eastAsia="仿宋_GB2312" w:hAnsi="宋体" w:cs="宋体" w:hint="eastAsia"/>
          <w:kern w:val="0"/>
          <w:sz w:val="32"/>
          <w:szCs w:val="32"/>
        </w:rPr>
        <w:t>单科成绩总和</w:t>
      </w:r>
      <w:bookmarkStart w:id="1" w:name="_GoBack"/>
      <w:bookmarkEnd w:id="1"/>
      <w:r w:rsidRPr="00A431B1">
        <w:rPr>
          <w:rFonts w:ascii="仿宋_GB2312" w:eastAsia="仿宋_GB2312" w:hAnsi="宋体" w:cs="宋体" w:hint="eastAsia"/>
          <w:kern w:val="0"/>
          <w:sz w:val="32"/>
          <w:szCs w:val="32"/>
        </w:rPr>
        <w:t>/总</w:t>
      </w:r>
      <w:r w:rsidR="00864649">
        <w:rPr>
          <w:rFonts w:ascii="仿宋_GB2312" w:eastAsia="仿宋_GB2312" w:hAnsi="宋体" w:cs="宋体" w:hint="eastAsia"/>
          <w:kern w:val="0"/>
          <w:sz w:val="32"/>
          <w:szCs w:val="32"/>
        </w:rPr>
        <w:t>科数</w:t>
      </w:r>
    </w:p>
    <w:p w:rsidR="007778F7" w:rsidRDefault="00D348D3" w:rsidP="00D348D3">
      <w:pPr>
        <w:widowControl/>
        <w:shd w:val="clear" w:color="auto" w:fill="FFFFFF"/>
        <w:spacing w:line="293" w:lineRule="atLeast"/>
        <w:ind w:leftChars="200" w:left="420" w:firstLineChars="100" w:firstLine="321"/>
        <w:jc w:val="left"/>
        <w:rPr>
          <w:rFonts w:ascii="宋体" w:eastAsia="宋体" w:hAnsi="宋体" w:cs="宋体"/>
          <w:kern w:val="0"/>
          <w:sz w:val="20"/>
          <w:szCs w:val="20"/>
        </w:rPr>
      </w:pPr>
      <w:r>
        <w:rPr>
          <w:rFonts w:ascii="仿宋_GB2312" w:eastAsia="仿宋_GB2312" w:hAnsi="宋体" w:cs="宋体" w:hint="eastAsia"/>
          <w:b/>
          <w:bCs/>
          <w:kern w:val="0"/>
          <w:sz w:val="32"/>
          <w:szCs w:val="32"/>
        </w:rPr>
        <w:t>2.科研实践考核计分办法</w:t>
      </w:r>
    </w:p>
    <w:p w:rsidR="007778F7" w:rsidRDefault="00D348D3">
      <w:pPr>
        <w:widowControl/>
        <w:shd w:val="clear" w:color="auto" w:fill="FFFFFF"/>
        <w:spacing w:line="293" w:lineRule="atLeast"/>
        <w:ind w:firstLine="720"/>
        <w:jc w:val="left"/>
        <w:rPr>
          <w:rFonts w:ascii="宋体" w:eastAsia="宋体" w:hAnsi="宋体" w:cs="宋体"/>
          <w:kern w:val="0"/>
          <w:sz w:val="20"/>
          <w:szCs w:val="20"/>
        </w:rPr>
      </w:pPr>
      <w:r>
        <w:rPr>
          <w:rFonts w:ascii="仿宋_GB2312" w:eastAsia="仿宋_GB2312" w:hAnsi="宋体" w:cs="宋体" w:hint="eastAsia"/>
          <w:kern w:val="0"/>
          <w:sz w:val="32"/>
          <w:szCs w:val="32"/>
        </w:rPr>
        <w:t>科研实践环节考核采取由研究生导师进行分等级考核。考核等级分优秀、良好和及格三个等级。优秀计90</w:t>
      </w:r>
      <w:r>
        <w:rPr>
          <w:rFonts w:ascii="仿宋_GB2312" w:eastAsia="仿宋_GB2312" w:hAnsi="宋体" w:cs="宋体" w:hint="eastAsia"/>
          <w:kern w:val="0"/>
          <w:sz w:val="32"/>
          <w:szCs w:val="32"/>
        </w:rPr>
        <w:lastRenderedPageBreak/>
        <w:t>分、良好计80分和及格计60分。研究生导师根据研究生科研工作能力、工作是否积极主动、自我创新意识、组织管理和协调能力、在相关的课题研究中发挥的作用、学术研讨中的表现和参加国内外学术会议情况对研究生科研实践活动</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综合评价。研究生参加国内外定期举行的学术会议，并且递交论文作会议交流（研究生是第一作者），每次可以加计30分。科研实践环节总得分计算公式如下：</w:t>
      </w:r>
    </w:p>
    <w:p w:rsidR="007778F7" w:rsidRDefault="00D348D3">
      <w:pPr>
        <w:widowControl/>
        <w:shd w:val="clear" w:color="auto" w:fill="FFFFFF"/>
        <w:spacing w:line="293" w:lineRule="atLeast"/>
        <w:ind w:firstLine="720"/>
        <w:jc w:val="left"/>
        <w:rPr>
          <w:rFonts w:ascii="宋体" w:eastAsia="宋体" w:hAnsi="宋体" w:cs="宋体"/>
          <w:kern w:val="0"/>
          <w:sz w:val="20"/>
          <w:szCs w:val="20"/>
        </w:rPr>
      </w:pPr>
      <w:r>
        <w:rPr>
          <w:rFonts w:ascii="仿宋_GB2312" w:eastAsia="仿宋_GB2312" w:hAnsi="宋体" w:cs="宋体" w:hint="eastAsia"/>
          <w:kern w:val="0"/>
          <w:sz w:val="32"/>
          <w:szCs w:val="32"/>
        </w:rPr>
        <w:t>科研实践环节总得分=考核等级得分+30×本学年参加国内外学术会议次数</w:t>
      </w:r>
    </w:p>
    <w:p w:rsidR="007778F7" w:rsidRDefault="00D348D3">
      <w:pPr>
        <w:widowControl/>
        <w:shd w:val="clear" w:color="auto" w:fill="FFFFFF"/>
        <w:spacing w:line="293" w:lineRule="atLeast"/>
        <w:ind w:firstLine="643"/>
        <w:jc w:val="left"/>
        <w:rPr>
          <w:rFonts w:ascii="宋体" w:eastAsia="宋体" w:hAnsi="宋体" w:cs="宋体"/>
          <w:kern w:val="0"/>
          <w:sz w:val="24"/>
          <w:szCs w:val="24"/>
        </w:rPr>
      </w:pPr>
      <w:r>
        <w:rPr>
          <w:rFonts w:ascii="仿宋_GB2312" w:eastAsia="仿宋_GB2312" w:hAnsi="宋体" w:cs="宋体" w:hint="eastAsia"/>
          <w:b/>
          <w:bCs/>
          <w:kern w:val="0"/>
          <w:sz w:val="32"/>
          <w:szCs w:val="32"/>
        </w:rPr>
        <w:t>3.创新能力考核计分办法</w:t>
      </w:r>
    </w:p>
    <w:p w:rsidR="007778F7" w:rsidRDefault="00D348D3">
      <w:pPr>
        <w:widowControl/>
        <w:shd w:val="clear" w:color="auto" w:fill="FFFFFF"/>
        <w:spacing w:line="500" w:lineRule="atLeas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具有表1，表2，表3中列举科研成果的，按照表1，表2，表3规定将相应数值累加。已经参与评比的成果不重复使用。</w:t>
      </w: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表1　学术论文分值计算标准表</w:t>
      </w:r>
    </w:p>
    <w:tbl>
      <w:tblPr>
        <w:tblW w:w="9073" w:type="dxa"/>
        <w:tblInd w:w="-176" w:type="dxa"/>
        <w:tblCellMar>
          <w:left w:w="0" w:type="dxa"/>
          <w:right w:w="0" w:type="dxa"/>
        </w:tblCellMar>
        <w:tblLook w:val="04A0" w:firstRow="1" w:lastRow="0" w:firstColumn="1" w:lastColumn="0" w:noHBand="0" w:noVBand="1"/>
      </w:tblPr>
      <w:tblGrid>
        <w:gridCol w:w="1124"/>
        <w:gridCol w:w="5640"/>
        <w:gridCol w:w="2309"/>
      </w:tblGrid>
      <w:tr w:rsidR="007778F7">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序号</w:t>
            </w:r>
          </w:p>
        </w:tc>
        <w:tc>
          <w:tcPr>
            <w:tcW w:w="5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发表场合</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分值</w:t>
            </w:r>
          </w:p>
        </w:tc>
      </w:tr>
      <w:tr w:rsidR="007778F7">
        <w:tc>
          <w:tcPr>
            <w:tcW w:w="11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SCI刊物影响因子≥1</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影响因子*50</w:t>
            </w:r>
          </w:p>
        </w:tc>
      </w:tr>
      <w:tr w:rsidR="007778F7">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SCI刊物影响因子＜1</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EI刊物</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核心刊物、EI刊物增刊</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一般学术刊物、核心刊物增刊</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15</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SCI检索国际会议</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EI检索国际会议</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25</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7</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ISTP检索国际会议</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8</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其他国际会议</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lastRenderedPageBreak/>
              <w:t>9</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全国性学术会议［公开发行会议论文集（包括全国博士生论坛）］</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全国性学术会议(没有公开发行，有论文集)</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省级创新基金</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12</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校级创新基金</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13</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实名参与专著编写并注明章节</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20分/10万字</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14</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实名参加教材编写并注明章节</w:t>
            </w:r>
            <w:r>
              <w:rPr>
                <w:rFonts w:ascii="仿宋_GB2312" w:eastAsia="仿宋_GB2312" w:hAnsi="宋体" w:cs="宋体" w:hint="eastAsia"/>
                <w:kern w:val="0"/>
                <w:sz w:val="24"/>
                <w:szCs w:val="24"/>
              </w:rPr>
              <w:t> </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10分/10万字</w:t>
            </w:r>
          </w:p>
        </w:tc>
      </w:tr>
    </w:tbl>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说明：</w:t>
      </w:r>
    </w:p>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（1）论文作者必须同时符合以下两个条件，才能享受表1</w:t>
      </w: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的计分：第一，论文第一作者为我院教师或研究生；第二，论文作者单位必须为“南京理工大学材料学院”，并且为第一排名单位。</w:t>
      </w:r>
    </w:p>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（2）论文第二作者仅限于导师是第一作者，该学术论文分值按60%计算；</w:t>
      </w:r>
    </w:p>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（3）所有论文以正式发表为准。</w:t>
      </w: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w:t>
      </w: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表2　科研获奖分值计算标准表</w:t>
      </w:r>
    </w:p>
    <w:tbl>
      <w:tblPr>
        <w:tblW w:w="8295" w:type="dxa"/>
        <w:tblCellMar>
          <w:left w:w="0" w:type="dxa"/>
          <w:right w:w="0" w:type="dxa"/>
        </w:tblCellMar>
        <w:tblLook w:val="04A0" w:firstRow="1" w:lastRow="0" w:firstColumn="1" w:lastColumn="0" w:noHBand="0" w:noVBand="1"/>
      </w:tblPr>
      <w:tblGrid>
        <w:gridCol w:w="1080"/>
        <w:gridCol w:w="1202"/>
        <w:gridCol w:w="1203"/>
        <w:gridCol w:w="1202"/>
        <w:gridCol w:w="1203"/>
        <w:gridCol w:w="1202"/>
        <w:gridCol w:w="1203"/>
      </w:tblGrid>
      <w:tr w:rsidR="007778F7">
        <w:trPr>
          <w:trHeight w:val="340"/>
        </w:trPr>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获奖类别</w:t>
            </w:r>
          </w:p>
        </w:tc>
        <w:tc>
          <w:tcPr>
            <w:tcW w:w="120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获奖</w:t>
            </w:r>
          </w:p>
        </w:tc>
        <w:tc>
          <w:tcPr>
            <w:tcW w:w="120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排名第一</w:t>
            </w:r>
          </w:p>
        </w:tc>
        <w:tc>
          <w:tcPr>
            <w:tcW w:w="120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排名第二</w:t>
            </w:r>
          </w:p>
        </w:tc>
        <w:tc>
          <w:tcPr>
            <w:tcW w:w="120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排名第三</w:t>
            </w:r>
          </w:p>
        </w:tc>
        <w:tc>
          <w:tcPr>
            <w:tcW w:w="120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排名第四</w:t>
            </w:r>
          </w:p>
        </w:tc>
        <w:tc>
          <w:tcPr>
            <w:tcW w:w="120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排名第五</w:t>
            </w:r>
          </w:p>
        </w:tc>
      </w:tr>
      <w:tr w:rsidR="007778F7">
        <w:trPr>
          <w:trHeight w:val="340"/>
        </w:trPr>
        <w:tc>
          <w:tcPr>
            <w:tcW w:w="108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国家级奖</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80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80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r>
      <w:tr w:rsidR="007778F7">
        <w:trPr>
          <w:trHeight w:val="340"/>
        </w:trPr>
        <w:tc>
          <w:tcPr>
            <w:tcW w:w="108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省部级奖</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r>
      <w:tr w:rsidR="007778F7">
        <w:trPr>
          <w:trHeight w:val="340"/>
        </w:trPr>
        <w:tc>
          <w:tcPr>
            <w:tcW w:w="108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市厅级奖</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15</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xml:space="preserve">　</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xml:space="preserve">　</w:t>
            </w:r>
          </w:p>
        </w:tc>
      </w:tr>
    </w:tbl>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w:t>
      </w: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表3　发明专利奖分值计算标准表</w:t>
      </w: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w:t>
      </w:r>
    </w:p>
    <w:tbl>
      <w:tblPr>
        <w:tblW w:w="9075" w:type="dxa"/>
        <w:jc w:val="center"/>
        <w:tblCellMar>
          <w:left w:w="0" w:type="dxa"/>
          <w:right w:w="0" w:type="dxa"/>
        </w:tblCellMar>
        <w:tblLook w:val="04A0" w:firstRow="1" w:lastRow="0" w:firstColumn="1" w:lastColumn="0" w:noHBand="0" w:noVBand="1"/>
      </w:tblPr>
      <w:tblGrid>
        <w:gridCol w:w="3918"/>
        <w:gridCol w:w="3146"/>
        <w:gridCol w:w="2011"/>
      </w:tblGrid>
      <w:tr w:rsidR="007778F7">
        <w:trPr>
          <w:jc w:val="center"/>
        </w:trPr>
        <w:tc>
          <w:tcPr>
            <w:tcW w:w="24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授权发明专利</w:t>
            </w:r>
          </w:p>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（有专利证书）</w:t>
            </w:r>
          </w:p>
        </w:tc>
        <w:tc>
          <w:tcPr>
            <w:tcW w:w="1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第一发明人</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50分</w:t>
            </w:r>
          </w:p>
        </w:tc>
      </w:tr>
      <w:tr w:rsidR="007778F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第二发明人</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30分</w:t>
            </w:r>
          </w:p>
        </w:tc>
      </w:tr>
      <w:tr w:rsidR="007778F7">
        <w:trPr>
          <w:jc w:val="center"/>
        </w:trPr>
        <w:tc>
          <w:tcPr>
            <w:tcW w:w="24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申请发明专利</w:t>
            </w:r>
          </w:p>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lastRenderedPageBreak/>
              <w:t>（</w:t>
            </w:r>
            <w:proofErr w:type="gramStart"/>
            <w:r>
              <w:rPr>
                <w:rFonts w:ascii="仿宋_GB2312" w:eastAsia="仿宋_GB2312" w:hAnsi="宋体" w:cs="宋体" w:hint="eastAsia"/>
                <w:kern w:val="0"/>
                <w:sz w:val="24"/>
                <w:szCs w:val="24"/>
              </w:rPr>
              <w:t>有授理</w:t>
            </w:r>
            <w:proofErr w:type="gramEnd"/>
            <w:r>
              <w:rPr>
                <w:rFonts w:ascii="仿宋_GB2312" w:eastAsia="仿宋_GB2312" w:hAnsi="宋体" w:cs="宋体" w:hint="eastAsia"/>
                <w:kern w:val="0"/>
                <w:sz w:val="24"/>
                <w:szCs w:val="24"/>
              </w:rPr>
              <w:t>号）</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lastRenderedPageBreak/>
              <w:t>第一发明人</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20分</w:t>
            </w:r>
          </w:p>
        </w:tc>
      </w:tr>
      <w:tr w:rsidR="007778F7">
        <w:trPr>
          <w:jc w:val="center"/>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第二发明人</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10分</w:t>
            </w:r>
          </w:p>
        </w:tc>
      </w:tr>
    </w:tbl>
    <w:p w:rsidR="007778F7" w:rsidRDefault="00D348D3">
      <w:pPr>
        <w:widowControl/>
        <w:shd w:val="clear" w:color="auto" w:fill="FFFFFF"/>
        <w:spacing w:line="293" w:lineRule="atLeast"/>
        <w:jc w:val="center"/>
        <w:rPr>
          <w:rFonts w:ascii="宋体" w:eastAsia="宋体" w:hAnsi="宋体" w:cs="宋体"/>
          <w:kern w:val="0"/>
          <w:sz w:val="24"/>
          <w:szCs w:val="24"/>
        </w:rPr>
      </w:pPr>
      <w:r>
        <w:rPr>
          <w:rFonts w:ascii="仿宋_GB2312" w:eastAsia="仿宋_GB2312" w:hAnsi="宋体" w:cs="宋体" w:hint="eastAsia"/>
          <w:b/>
          <w:bCs/>
          <w:kern w:val="0"/>
          <w:sz w:val="24"/>
          <w:szCs w:val="24"/>
        </w:rPr>
        <w:t>附加分计分查分表</w:t>
      </w:r>
    </w:p>
    <w:tbl>
      <w:tblPr>
        <w:tblW w:w="9498" w:type="dxa"/>
        <w:tblInd w:w="-318" w:type="dxa"/>
        <w:tblCellMar>
          <w:left w:w="0" w:type="dxa"/>
          <w:right w:w="0" w:type="dxa"/>
        </w:tblCellMar>
        <w:tblLook w:val="04A0" w:firstRow="1" w:lastRow="0" w:firstColumn="1" w:lastColumn="0" w:noHBand="0" w:noVBand="1"/>
      </w:tblPr>
      <w:tblGrid>
        <w:gridCol w:w="3031"/>
        <w:gridCol w:w="2780"/>
        <w:gridCol w:w="690"/>
        <w:gridCol w:w="2997"/>
      </w:tblGrid>
      <w:tr w:rsidR="007778F7">
        <w:trPr>
          <w:trHeight w:val="759"/>
        </w:trPr>
        <w:tc>
          <w:tcPr>
            <w:tcW w:w="2411"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inline distT="0" distB="0" distL="0" distR="0">
                      <wp:extent cx="866775" cy="704850"/>
                      <wp:effectExtent l="0" t="0" r="0" b="0"/>
                      <wp:docPr id="7" name="矩形 7" descr="C:\Users\HP\AppData\Local\Temp\msohtmlclip1\01\clip_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704850"/>
                              </a:xfrm>
                              <a:prstGeom prst="rect">
                                <a:avLst/>
                              </a:prstGeom>
                              <a:noFill/>
                              <a:ln>
                                <a:noFill/>
                              </a:ln>
                            </wps:spPr>
                            <wps:txbx>
                              <w:txbxContent>
                                <w:p w:rsidR="007778F7" w:rsidRDefault="007778F7">
                                  <w:pPr>
                                    <w:jc w:val="center"/>
                                  </w:pPr>
                                </w:p>
                              </w:txbxContent>
                            </wps:txbx>
                            <wps:bodyPr rot="0" vert="horz" wrap="square" lIns="91440" tIns="45720" rIns="91440" bIns="45720" anchor="t" anchorCtr="0" upright="1">
                              <a:noAutofit/>
                            </wps:bodyPr>
                          </wps:wsp>
                        </a:graphicData>
                      </a:graphic>
                    </wp:inline>
                  </w:drawing>
                </mc:Choice>
                <mc:Fallback xmlns:wpsCustomData="http://www.wps.cn/officeDocument/2013/wpsCustomData">
                  <w:pict>
                    <v:rect id="_x0000_s1026" o:spid="_x0000_s1026" o:spt="1" alt="C:\Users\HP\AppData\Local\Temp\msohtmlclip1\01\clip_image007.gif" style="height:55.5pt;width:68.25pt;" filled="f" stroked="f" coordsize="21600,21600" o:gfxdata="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wSAyjWAAAABQEAAA8AAAAAAAAAAQAg&#10;AAAAIgAAAGRycy9kb3ducmV2LnhtbFBLAQIUABQAAAAIAIdO4kDp1cTXSQIAAGMEAAAOAAAAAAAA&#10;AAEAIAAAACUBAABkcnMvZTJvRG9jLnhtbFBLBQYAAAAABgAGAFkBAADgBQAAAAA=&#10;">
                      <v:fill on="f" focussize="0,0"/>
                      <v:stroke on="f"/>
                      <v:imagedata o:title=""/>
                      <o:lock v:ext="edit" aspectratio="t"/>
                      <v:textbox>
                        <w:txbxContent>
                          <w:p>
                            <w:pPr>
                              <w:jc w:val="center"/>
                            </w:pPr>
                          </w:p>
                        </w:txbxContent>
                      </v:textbox>
                      <w10:wrap type="none"/>
                      <w10:anchorlock/>
                    </v:rect>
                  </w:pict>
                </mc:Fallback>
              </mc:AlternateContent>
            </w:r>
            <w:r>
              <w:rPr>
                <w:rFonts w:ascii="宋体" w:eastAsia="宋体" w:hAnsi="宋体" w:cs="宋体"/>
                <w:noProof/>
                <w:kern w:val="0"/>
                <w:sz w:val="24"/>
                <w:szCs w:val="24"/>
              </w:rPr>
              <mc:AlternateContent>
                <mc:Choice Requires="wps">
                  <w:drawing>
                    <wp:inline distT="0" distB="0" distL="0" distR="0">
                      <wp:extent cx="1571625" cy="419100"/>
                      <wp:effectExtent l="0" t="0" r="0" b="0"/>
                      <wp:docPr id="6" name="矩形 6" descr="C:\Users\HP\AppData\Local\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419100"/>
                              </a:xfrm>
                              <a:prstGeom prst="rect">
                                <a:avLst/>
                              </a:prstGeom>
                              <a:noFill/>
                              <a:ln>
                                <a:noFill/>
                              </a:ln>
                            </wps:spPr>
                            <wps:txbx>
                              <w:txbxContent>
                                <w:p w:rsidR="007778F7" w:rsidRDefault="007778F7">
                                  <w:pPr>
                                    <w:jc w:val="center"/>
                                  </w:pPr>
                                </w:p>
                              </w:txbxContent>
                            </wps:txbx>
                            <wps:bodyPr rot="0" vert="horz" wrap="square" lIns="91440" tIns="45720" rIns="91440" bIns="45720" anchor="t" anchorCtr="0" upright="1">
                              <a:noAutofit/>
                            </wps:bodyPr>
                          </wps:wsp>
                        </a:graphicData>
                      </a:graphic>
                    </wp:inline>
                  </w:drawing>
                </mc:Choice>
                <mc:Fallback xmlns:wpsCustomData="http://www.wps.cn/officeDocument/2013/wpsCustomData">
                  <w:pict>
                    <v:rect id="_x0000_s1026" o:spid="_x0000_s1026" o:spt="1" alt="C:\Users\HP\AppData\Local\Temp\msohtmlclip1\01\clip_image008.gif" style="height:33pt;width:123.75pt;" filled="f" stroked="f" coordsize="21600,21600" o:gfxdata="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SmLAHWAAAABAEAAA8AAAAAAAAAAQAg&#10;AAAAIgAAAGRycy9kb3ducmV2LnhtbFBLAQIUABQAAAAIAIdO4kAhAiwcSQIAAGQEAAAOAAAAAAAA&#10;AAEAIAAAACUBAABkcnMvZTJvRG9jLnhtbFBLBQYAAAAABgAGAFkBAADgBQAAAAA=&#10;">
                      <v:fill on="f" focussize="0,0"/>
                      <v:stroke on="f"/>
                      <v:imagedata o:title=""/>
                      <o:lock v:ext="edit" aspectratio="t"/>
                      <v:textbox>
                        <w:txbxContent>
                          <w:p>
                            <w:pPr>
                              <w:jc w:val="center"/>
                            </w:pPr>
                          </w:p>
                        </w:txbxContent>
                      </v:textbox>
                      <w10:wrap type="none"/>
                      <w10:anchorlock/>
                    </v:rect>
                  </w:pict>
                </mc:Fallback>
              </mc:AlternateContent>
            </w: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内容</w:t>
            </w:r>
            <w:r>
              <w:rPr>
                <w:rFonts w:ascii="仿宋_GB2312" w:eastAsia="仿宋_GB2312" w:hAnsi="宋体" w:cs="宋体" w:hint="eastAsia"/>
                <w:kern w:val="0"/>
                <w:sz w:val="24"/>
                <w:szCs w:val="24"/>
              </w:rPr>
              <w:t>    </w:t>
            </w:r>
          </w:p>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加分</w:t>
            </w:r>
          </w:p>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等级</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党团表彰、校园文化活动、社会实践、实验技能、科技竞赛、科技学术活动等</w:t>
            </w:r>
          </w:p>
        </w:tc>
      </w:tr>
      <w:tr w:rsidR="007778F7">
        <w:trPr>
          <w:trHeight w:val="316"/>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个人</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集体</w:t>
            </w:r>
            <w:proofErr w:type="gramStart"/>
            <w:r>
              <w:rPr>
                <w:rFonts w:ascii="仿宋_GB2312" w:eastAsia="仿宋_GB2312" w:hAnsi="宋体" w:cs="宋体" w:hint="eastAsia"/>
                <w:kern w:val="0"/>
                <w:sz w:val="24"/>
                <w:szCs w:val="24"/>
              </w:rPr>
              <w:t>类队员</w:t>
            </w:r>
            <w:proofErr w:type="gramEnd"/>
            <w:r>
              <w:rPr>
                <w:rFonts w:ascii="仿宋_GB2312" w:eastAsia="仿宋_GB2312" w:hAnsi="宋体" w:cs="宋体" w:hint="eastAsia"/>
                <w:kern w:val="0"/>
                <w:sz w:val="24"/>
                <w:szCs w:val="24"/>
              </w:rPr>
              <w:t>加分</w:t>
            </w:r>
          </w:p>
        </w:tc>
      </w:tr>
      <w:tr w:rsidR="007778F7">
        <w:trPr>
          <w:trHeight w:val="344"/>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国家级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特等奖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16</w:t>
            </w:r>
          </w:p>
        </w:tc>
        <w:tc>
          <w:tcPr>
            <w:tcW w:w="62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主要组织者1-2人，在对应获奖级别的个人分上加4分；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参与组织者1-2人，在对应的获奖级别的个人上加3分；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其他成员，与对应获奖级别的个人分相等。</w:t>
            </w:r>
          </w:p>
        </w:tc>
      </w:tr>
      <w:tr w:rsidR="007778F7">
        <w:trPr>
          <w:trHeight w:val="361"/>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14</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44"/>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12</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61"/>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44"/>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省市级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特等奖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12</w:t>
            </w:r>
          </w:p>
        </w:tc>
        <w:tc>
          <w:tcPr>
            <w:tcW w:w="62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主要组织者1-2人，在对应获奖级别的个人分上加3分；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参与组织者1-2人，在对应的获奖级别的个人上加2分；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其他成员，与对应获奖级别的个人分相等。</w:t>
            </w:r>
          </w:p>
        </w:tc>
      </w:tr>
      <w:tr w:rsidR="007778F7">
        <w:trPr>
          <w:trHeight w:val="361"/>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44"/>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8</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44"/>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61"/>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校级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特等奖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w:t>
            </w:r>
          </w:p>
        </w:tc>
        <w:tc>
          <w:tcPr>
            <w:tcW w:w="62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主要组织者1-2人，在对应获奖级别的个人分上加1分；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lastRenderedPageBreak/>
              <w:t>参与组织者1-2人，在对应的获奖级别的个人上加0.5分；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其他成员，与对应获奖级别的个人分相等。</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 </w:t>
            </w:r>
          </w:p>
        </w:tc>
      </w:tr>
      <w:tr w:rsidR="007778F7">
        <w:trPr>
          <w:trHeight w:val="344"/>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61"/>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61"/>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0.5</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bl>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注：1）上学年三好表彰和专项奖学金获奖不在加分之列；</w:t>
      </w:r>
    </w:p>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 xml:space="preserve"> 2）党内表彰无等级按一等计分，团内表彰无等级按二等计；</w:t>
      </w:r>
    </w:p>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 xml:space="preserve"> 3）同一学年同一成果多次获奖按最高等级只加一次分；</w:t>
      </w:r>
    </w:p>
    <w:p w:rsidR="007778F7" w:rsidRDefault="00D348D3">
      <w:pPr>
        <w:widowControl/>
        <w:shd w:val="clear" w:color="auto" w:fill="FFFFFF"/>
        <w:spacing w:line="440" w:lineRule="atLeast"/>
        <w:ind w:firstLine="960"/>
        <w:jc w:val="left"/>
        <w:rPr>
          <w:rFonts w:ascii="宋体" w:eastAsia="宋体" w:hAnsi="宋体" w:cs="宋体"/>
          <w:kern w:val="0"/>
          <w:sz w:val="24"/>
          <w:szCs w:val="24"/>
        </w:rPr>
      </w:pPr>
      <w:r>
        <w:rPr>
          <w:rFonts w:ascii="仿宋_GB2312" w:eastAsia="仿宋_GB2312" w:hAnsi="宋体" w:cs="宋体" w:hint="eastAsia"/>
          <w:kern w:val="0"/>
          <w:sz w:val="24"/>
          <w:szCs w:val="24"/>
        </w:rPr>
        <w:t>4）同一成果跨学年多次获奖，按最高级别加分减去已加分加分；</w:t>
      </w:r>
    </w:p>
    <w:p w:rsidR="007778F7" w:rsidRDefault="00D348D3">
      <w:pPr>
        <w:widowControl/>
        <w:shd w:val="clear" w:color="auto" w:fill="FFFFFF"/>
        <w:spacing w:line="293" w:lineRule="atLeast"/>
        <w:ind w:firstLine="643"/>
        <w:jc w:val="left"/>
        <w:rPr>
          <w:rFonts w:ascii="宋体" w:eastAsia="宋体" w:hAnsi="宋体" w:cs="宋体"/>
          <w:kern w:val="0"/>
          <w:sz w:val="24"/>
          <w:szCs w:val="24"/>
        </w:rPr>
      </w:pPr>
      <w:r>
        <w:rPr>
          <w:rFonts w:ascii="仿宋_GB2312" w:eastAsia="仿宋_GB2312" w:hAnsi="宋体" w:cs="宋体" w:hint="eastAsia"/>
          <w:b/>
          <w:bCs/>
          <w:kern w:val="0"/>
          <w:sz w:val="32"/>
          <w:szCs w:val="32"/>
        </w:rPr>
        <w:t>4.社会活动情况</w:t>
      </w:r>
    </w:p>
    <w:p w:rsidR="007778F7" w:rsidRDefault="00D348D3">
      <w:pPr>
        <w:widowControl/>
        <w:shd w:val="clear" w:color="auto" w:fill="FFFFFF"/>
        <w:spacing w:line="293" w:lineRule="atLeas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社会活动情况是指研究生必须参加新生入学教育活动、学校与学院组织的各项课外活动（包括学院研究生学术论坛、运动会、其他活动）等。考核采取逐项加分方式。</w:t>
      </w:r>
    </w:p>
    <w:p w:rsidR="007778F7" w:rsidRDefault="00D348D3">
      <w:pPr>
        <w:widowControl/>
        <w:shd w:val="clear" w:color="auto" w:fill="FFFFFF"/>
        <w:spacing w:line="293" w:lineRule="atLeast"/>
        <w:ind w:firstLine="480"/>
        <w:jc w:val="left"/>
        <w:rPr>
          <w:rFonts w:ascii="宋体" w:eastAsia="宋体" w:hAnsi="宋体" w:cs="宋体"/>
          <w:kern w:val="0"/>
          <w:sz w:val="24"/>
          <w:szCs w:val="24"/>
        </w:rPr>
      </w:pPr>
      <w:r>
        <w:rPr>
          <w:rFonts w:ascii="仿宋_GB2312" w:eastAsia="仿宋_GB2312" w:hAnsi="宋体" w:cs="宋体" w:hint="eastAsia"/>
          <w:kern w:val="0"/>
          <w:sz w:val="32"/>
          <w:szCs w:val="32"/>
        </w:rPr>
        <w:t>（1）研究生参加新生入学教育活动和学院研究生学术论坛每项加10分（由学院研究生辅导员负责考核）。研究生参加学校和学院组织的各项课外活动并获奖，每项活动加10分（需提供获奖证明）。</w:t>
      </w:r>
    </w:p>
    <w:p w:rsidR="007778F7" w:rsidRDefault="00D348D3">
      <w:pPr>
        <w:widowControl/>
        <w:shd w:val="clear" w:color="auto" w:fill="FFFFFF"/>
        <w:spacing w:line="293" w:lineRule="atLeast"/>
        <w:ind w:right="-512" w:firstLine="160"/>
        <w:jc w:val="left"/>
        <w:rPr>
          <w:rFonts w:ascii="宋体" w:eastAsia="宋体" w:hAnsi="宋体" w:cs="宋体"/>
          <w:kern w:val="0"/>
          <w:sz w:val="24"/>
          <w:szCs w:val="24"/>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（2）研究生干部加分</w:t>
      </w:r>
    </w:p>
    <w:p w:rsidR="007778F7" w:rsidRDefault="00D348D3">
      <w:pPr>
        <w:widowControl/>
        <w:shd w:val="clear" w:color="auto" w:fill="FFFFFF"/>
        <w:spacing w:line="293" w:lineRule="atLeast"/>
        <w:ind w:right="-512" w:firstLine="640"/>
        <w:jc w:val="left"/>
        <w:rPr>
          <w:rFonts w:ascii="宋体" w:eastAsia="宋体" w:hAnsi="宋体" w:cs="宋体"/>
          <w:kern w:val="0"/>
          <w:sz w:val="24"/>
          <w:szCs w:val="24"/>
        </w:rPr>
      </w:pPr>
      <w:r>
        <w:rPr>
          <w:rFonts w:ascii="仿宋_GB2312" w:eastAsia="仿宋_GB2312" w:hAnsi="宋体" w:cs="宋体" w:hint="eastAsia"/>
          <w:kern w:val="0"/>
          <w:sz w:val="32"/>
          <w:szCs w:val="32"/>
        </w:rPr>
        <w:t>担任辅导员助理、学院研究生会干部、党支部委员和班委的研究生，经学院学生工作办公室考核合格，按以下标准加分。</w:t>
      </w:r>
    </w:p>
    <w:tbl>
      <w:tblPr>
        <w:tblW w:w="9288" w:type="dxa"/>
        <w:tblCellMar>
          <w:left w:w="0" w:type="dxa"/>
          <w:right w:w="0" w:type="dxa"/>
        </w:tblCellMar>
        <w:tblLook w:val="04A0" w:firstRow="1" w:lastRow="0" w:firstColumn="1" w:lastColumn="0" w:noHBand="0" w:noVBand="1"/>
      </w:tblPr>
      <w:tblGrid>
        <w:gridCol w:w="5868"/>
        <w:gridCol w:w="3420"/>
      </w:tblGrid>
      <w:tr w:rsidR="007778F7">
        <w:tc>
          <w:tcPr>
            <w:tcW w:w="5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研究生干部类别</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加分标准</w:t>
            </w:r>
          </w:p>
        </w:tc>
      </w:tr>
      <w:tr w:rsidR="007778F7">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学院研究生会主席、校研究生</w:t>
            </w:r>
            <w:proofErr w:type="gramStart"/>
            <w:r>
              <w:rPr>
                <w:rFonts w:ascii="仿宋_GB2312" w:eastAsia="仿宋_GB2312" w:hAnsi="宋体" w:cs="宋体" w:hint="eastAsia"/>
                <w:kern w:val="0"/>
                <w:sz w:val="24"/>
                <w:szCs w:val="24"/>
              </w:rPr>
              <w:t>会部长</w:t>
            </w:r>
            <w:proofErr w:type="gramEnd"/>
            <w:r>
              <w:rPr>
                <w:rFonts w:ascii="仿宋_GB2312" w:eastAsia="仿宋_GB2312" w:hAnsi="宋体" w:cs="宋体" w:hint="eastAsia"/>
                <w:kern w:val="0"/>
                <w:sz w:val="24"/>
                <w:szCs w:val="24"/>
              </w:rPr>
              <w:t>以上</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r>
      <w:tr w:rsidR="007778F7">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研究生会副主席</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15</w:t>
            </w:r>
          </w:p>
        </w:tc>
      </w:tr>
      <w:tr w:rsidR="007778F7">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研究生</w:t>
            </w:r>
            <w:proofErr w:type="gramStart"/>
            <w:r>
              <w:rPr>
                <w:rFonts w:ascii="仿宋_GB2312" w:eastAsia="仿宋_GB2312" w:hAnsi="宋体" w:cs="宋体" w:hint="eastAsia"/>
                <w:kern w:val="0"/>
                <w:sz w:val="24"/>
                <w:szCs w:val="24"/>
              </w:rPr>
              <w:t>会部长</w:t>
            </w:r>
            <w:proofErr w:type="gramEnd"/>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r w:rsidR="007778F7">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lastRenderedPageBreak/>
              <w:t>党支部委员</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r w:rsidR="007778F7">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班委</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bl>
    <w:p w:rsidR="007778F7" w:rsidRDefault="00D348D3">
      <w:pPr>
        <w:widowControl/>
        <w:shd w:val="clear" w:color="auto" w:fill="FFFFFF"/>
        <w:spacing w:line="293" w:lineRule="atLeast"/>
        <w:ind w:firstLine="482"/>
        <w:jc w:val="left"/>
        <w:rPr>
          <w:rFonts w:ascii="宋体" w:eastAsia="宋体" w:hAnsi="宋体" w:cs="宋体"/>
          <w:kern w:val="0"/>
          <w:sz w:val="24"/>
          <w:szCs w:val="24"/>
        </w:rPr>
      </w:pPr>
      <w:r>
        <w:rPr>
          <w:rFonts w:ascii="仿宋_GB2312" w:eastAsia="仿宋_GB2312" w:hAnsi="宋体" w:cs="宋体" w:hint="eastAsia"/>
          <w:kern w:val="0"/>
          <w:sz w:val="32"/>
          <w:szCs w:val="32"/>
        </w:rPr>
        <w:t>研究生干部身兼数职的，按照较高级别加分。</w:t>
      </w:r>
    </w:p>
    <w:p w:rsidR="007778F7" w:rsidRDefault="00D348D3">
      <w:pPr>
        <w:widowControl/>
        <w:shd w:val="clear" w:color="auto" w:fill="FFFFFF"/>
        <w:spacing w:line="293" w:lineRule="atLeast"/>
        <w:ind w:firstLine="482"/>
        <w:jc w:val="left"/>
        <w:rPr>
          <w:rFonts w:ascii="宋体" w:eastAsia="宋体" w:hAnsi="宋体" w:cs="宋体"/>
          <w:kern w:val="0"/>
          <w:sz w:val="24"/>
          <w:szCs w:val="24"/>
        </w:rPr>
      </w:pPr>
      <w:r>
        <w:rPr>
          <w:rFonts w:ascii="仿宋_GB2312" w:eastAsia="仿宋_GB2312" w:hAnsi="宋体" w:cs="宋体" w:hint="eastAsia"/>
          <w:kern w:val="0"/>
          <w:sz w:val="32"/>
          <w:szCs w:val="32"/>
        </w:rPr>
        <w:t>社会活动得分=参加集体活动得分+研究生干部得分</w:t>
      </w:r>
    </w:p>
    <w:p w:rsidR="007778F7" w:rsidRDefault="00D348D3">
      <w:pPr>
        <w:widowControl/>
        <w:shd w:val="clear" w:color="auto" w:fill="FFFFFF"/>
        <w:spacing w:line="293" w:lineRule="atLeast"/>
        <w:ind w:firstLine="482"/>
        <w:jc w:val="left"/>
        <w:rPr>
          <w:rFonts w:ascii="宋体" w:eastAsia="宋体" w:hAnsi="宋体" w:cs="宋体"/>
          <w:kern w:val="0"/>
          <w:sz w:val="24"/>
          <w:szCs w:val="24"/>
        </w:rPr>
      </w:pPr>
      <w:r>
        <w:rPr>
          <w:rFonts w:ascii="仿宋_GB2312" w:eastAsia="仿宋_GB2312" w:hAnsi="宋体" w:cs="宋体" w:hint="eastAsia"/>
          <w:kern w:val="0"/>
          <w:sz w:val="32"/>
          <w:szCs w:val="32"/>
        </w:rPr>
        <w:t>课程学习、科研实践、创新能力和社会活动总得分=各环节得分×该环节所占权重</w:t>
      </w:r>
    </w:p>
    <w:p w:rsidR="007778F7" w:rsidRDefault="00D348D3">
      <w:pPr>
        <w:widowControl/>
        <w:shd w:val="clear" w:color="auto" w:fill="FFFFFF"/>
        <w:spacing w:line="293" w:lineRule="atLeast"/>
        <w:ind w:firstLine="480"/>
        <w:jc w:val="left"/>
        <w:rPr>
          <w:rFonts w:ascii="宋体" w:eastAsia="宋体" w:hAnsi="宋体" w:cs="宋体"/>
          <w:kern w:val="0"/>
          <w:sz w:val="24"/>
          <w:szCs w:val="24"/>
        </w:rPr>
      </w:pPr>
      <w:r>
        <w:rPr>
          <w:rFonts w:ascii="仿宋_GB2312" w:eastAsia="仿宋_GB2312" w:hAnsi="宋体" w:cs="宋体" w:hint="eastAsia"/>
          <w:b/>
          <w:bCs/>
          <w:kern w:val="0"/>
          <w:sz w:val="32"/>
          <w:szCs w:val="32"/>
        </w:rPr>
        <w:t>（三）第二、三学年研究生学业奖学金评定程序</w:t>
      </w:r>
    </w:p>
    <w:p w:rsidR="007778F7" w:rsidRDefault="00D348D3">
      <w:pPr>
        <w:widowControl/>
        <w:shd w:val="clear" w:color="auto" w:fill="FFFFFF"/>
        <w:spacing w:line="293" w:lineRule="atLeas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1.个人申请。研究生根据《南京理工大学材料科学与工程学院研究生学业奖学金评定实施细则》，结合自己每年9月1日至次年8月31日实际情况，提交个人申请表和相关证明材料。</w:t>
      </w:r>
    </w:p>
    <w:p w:rsidR="007778F7" w:rsidRDefault="00D348D3">
      <w:pPr>
        <w:widowControl/>
        <w:shd w:val="clear" w:color="auto" w:fill="FFFFFF"/>
        <w:spacing w:line="293" w:lineRule="atLeast"/>
        <w:ind w:firstLine="482"/>
        <w:jc w:val="left"/>
        <w:rPr>
          <w:rFonts w:ascii="宋体" w:eastAsia="宋体" w:hAnsi="宋体" w:cs="宋体"/>
          <w:kern w:val="0"/>
          <w:sz w:val="24"/>
          <w:szCs w:val="24"/>
        </w:rPr>
      </w:pPr>
      <w:r>
        <w:rPr>
          <w:rFonts w:ascii="仿宋_GB2312" w:eastAsia="仿宋_GB2312" w:hAnsi="宋体" w:cs="宋体" w:hint="eastAsia"/>
          <w:kern w:val="0"/>
          <w:sz w:val="32"/>
          <w:szCs w:val="32"/>
        </w:rPr>
        <w:t>2.学院审定。在参考导师推荐意见的基础上，材料学院研究生学业奖学金评定领导小组认真审核研究生个人申请，根据研究生思想品德和课程学习、科研实践、创新能力与社会活动总得分情况，在学校下达的奖学金比例的范围内，确定各等级学业奖学金的名单，并在学院内公示。评定结果经公示无异议后报研究生院。</w:t>
      </w:r>
    </w:p>
    <w:p w:rsidR="007778F7" w:rsidRDefault="00D348D3">
      <w:pPr>
        <w:widowControl/>
        <w:shd w:val="clear" w:color="auto" w:fill="FFFFFF"/>
        <w:spacing w:line="293" w:lineRule="atLeast"/>
        <w:ind w:firstLine="482"/>
        <w:jc w:val="left"/>
        <w:rPr>
          <w:rFonts w:ascii="宋体" w:eastAsia="宋体" w:hAnsi="宋体" w:cs="宋体"/>
          <w:kern w:val="0"/>
          <w:sz w:val="24"/>
          <w:szCs w:val="24"/>
        </w:rPr>
      </w:pPr>
      <w:r>
        <w:rPr>
          <w:rFonts w:ascii="仿宋_GB2312" w:eastAsia="仿宋_GB2312" w:hAnsi="宋体" w:cs="宋体" w:hint="eastAsia"/>
          <w:kern w:val="0"/>
          <w:sz w:val="32"/>
          <w:szCs w:val="32"/>
        </w:rPr>
        <w:t>3.研究生院核准。</w:t>
      </w:r>
    </w:p>
    <w:p w:rsidR="007778F7" w:rsidRDefault="00D348D3">
      <w:pPr>
        <w:widowControl/>
        <w:shd w:val="clear" w:color="auto" w:fill="FFFFFF"/>
        <w:spacing w:line="293" w:lineRule="atLeast"/>
        <w:jc w:val="center"/>
        <w:rPr>
          <w:rFonts w:ascii="宋体" w:eastAsia="宋体" w:hAnsi="宋体" w:cs="宋体"/>
          <w:kern w:val="0"/>
          <w:sz w:val="24"/>
          <w:szCs w:val="24"/>
        </w:rPr>
      </w:pPr>
      <w:r>
        <w:rPr>
          <w:rFonts w:ascii="黑体" w:eastAsia="黑体" w:hAnsi="黑体" w:cs="宋体" w:hint="eastAsia"/>
          <w:b/>
          <w:bCs/>
          <w:kern w:val="0"/>
          <w:sz w:val="32"/>
          <w:szCs w:val="32"/>
        </w:rPr>
        <w:t>第四章</w:t>
      </w:r>
      <w:r>
        <w:rPr>
          <w:rFonts w:ascii="Calibri" w:eastAsia="黑体" w:hAnsi="Calibri" w:cs="Calibri"/>
          <w:b/>
          <w:bCs/>
          <w:kern w:val="0"/>
          <w:sz w:val="32"/>
          <w:szCs w:val="32"/>
        </w:rPr>
        <w:t>  </w:t>
      </w:r>
      <w:r>
        <w:rPr>
          <w:rFonts w:ascii="黑体" w:eastAsia="黑体" w:hAnsi="黑体" w:cs="宋体" w:hint="eastAsia"/>
          <w:b/>
          <w:bCs/>
          <w:kern w:val="0"/>
          <w:sz w:val="32"/>
          <w:szCs w:val="32"/>
        </w:rPr>
        <w:t>博士研究生奖学金评定办法</w:t>
      </w:r>
    </w:p>
    <w:p w:rsidR="007778F7" w:rsidRDefault="00D348D3">
      <w:pPr>
        <w:widowControl/>
        <w:shd w:val="clear" w:color="auto" w:fill="FFFFFF"/>
        <w:spacing w:line="293" w:lineRule="atLeast"/>
        <w:ind w:firstLine="315"/>
        <w:jc w:val="left"/>
        <w:rPr>
          <w:rFonts w:ascii="宋体" w:eastAsia="宋体" w:hAnsi="宋体" w:cs="宋体"/>
          <w:kern w:val="0"/>
          <w:sz w:val="24"/>
          <w:szCs w:val="24"/>
        </w:rPr>
      </w:pPr>
      <w:r>
        <w:rPr>
          <w:rFonts w:ascii="仿宋_GB2312" w:eastAsia="仿宋_GB2312" w:hAnsi="宋体" w:cs="宋体" w:hint="eastAsia"/>
          <w:b/>
          <w:bCs/>
          <w:kern w:val="0"/>
          <w:sz w:val="32"/>
          <w:szCs w:val="32"/>
        </w:rPr>
        <w:t>第八条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根据硕博生（</w:t>
      </w:r>
      <w:proofErr w:type="gramStart"/>
      <w:r>
        <w:rPr>
          <w:rFonts w:ascii="仿宋_GB2312" w:eastAsia="仿宋_GB2312" w:hAnsi="宋体" w:cs="宋体" w:hint="eastAsia"/>
          <w:kern w:val="0"/>
          <w:sz w:val="32"/>
          <w:szCs w:val="32"/>
        </w:rPr>
        <w:t>转博第一</w:t>
      </w:r>
      <w:proofErr w:type="gramEnd"/>
      <w:r>
        <w:rPr>
          <w:rFonts w:ascii="仿宋_GB2312" w:eastAsia="仿宋_GB2312" w:hAnsi="宋体" w:cs="宋体" w:hint="eastAsia"/>
          <w:kern w:val="0"/>
          <w:sz w:val="32"/>
          <w:szCs w:val="32"/>
        </w:rPr>
        <w:t>学年）和申请审核录取的博士研究生所占当年录取的博士研究生总数的百分比，确定两类博士研究生奖学金的比例；申请审核录取的博士研究生第一学年学业奖学金评定安排在入学前完成，</w:t>
      </w:r>
      <w:r>
        <w:rPr>
          <w:rFonts w:ascii="仿宋_GB2312" w:eastAsia="仿宋_GB2312" w:hAnsi="宋体" w:cs="宋体" w:hint="eastAsia"/>
          <w:kern w:val="0"/>
          <w:sz w:val="32"/>
          <w:szCs w:val="32"/>
        </w:rPr>
        <w:lastRenderedPageBreak/>
        <w:t>按入学成绩排序（笔试成绩+面试成绩），根据比例确定奖学金等级。硕博连读</w:t>
      </w:r>
      <w:proofErr w:type="gramStart"/>
      <w:r>
        <w:rPr>
          <w:rFonts w:ascii="仿宋_GB2312" w:eastAsia="仿宋_GB2312" w:hAnsi="宋体" w:cs="宋体" w:hint="eastAsia"/>
          <w:kern w:val="0"/>
          <w:sz w:val="32"/>
          <w:szCs w:val="32"/>
        </w:rPr>
        <w:t>生转博</w:t>
      </w:r>
      <w:proofErr w:type="gramEnd"/>
      <w:r>
        <w:rPr>
          <w:rFonts w:ascii="仿宋_GB2312" w:eastAsia="仿宋_GB2312" w:hAnsi="宋体" w:cs="宋体" w:hint="eastAsia"/>
          <w:kern w:val="0"/>
          <w:sz w:val="32"/>
          <w:szCs w:val="32"/>
        </w:rPr>
        <w:t>第一学年按硕士研究生第二学年奖学金评定办法按比例确定奖学金等级。</w:t>
      </w:r>
    </w:p>
    <w:p w:rsidR="007778F7" w:rsidRDefault="00D348D3">
      <w:pPr>
        <w:widowControl/>
        <w:shd w:val="clear" w:color="auto" w:fill="FFFFFF"/>
        <w:spacing w:line="293" w:lineRule="atLeast"/>
        <w:jc w:val="left"/>
        <w:rPr>
          <w:rFonts w:ascii="宋体" w:eastAsia="宋体" w:hAnsi="宋体" w:cs="宋体"/>
          <w:kern w:val="0"/>
          <w:sz w:val="24"/>
          <w:szCs w:val="24"/>
        </w:rPr>
      </w:pPr>
      <w:r>
        <w:rPr>
          <w:rFonts w:ascii="仿宋_GB2312" w:eastAsia="仿宋_GB2312" w:hAnsi="宋体" w:cs="宋体" w:hint="eastAsia"/>
          <w:kern w:val="0"/>
          <w:sz w:val="32"/>
          <w:szCs w:val="32"/>
        </w:rPr>
        <w:t>  </w:t>
      </w:r>
      <w:r>
        <w:rPr>
          <w:rFonts w:ascii="仿宋_GB2312" w:eastAsia="仿宋_GB2312" w:hAnsi="宋体" w:cs="宋体" w:hint="eastAsia"/>
          <w:b/>
          <w:bCs/>
          <w:kern w:val="0"/>
          <w:sz w:val="32"/>
          <w:szCs w:val="32"/>
        </w:rPr>
        <w:t>第九条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第二、三、四学年博士研究生学业奖学金评定在每年9月份进行。主要依据研究生思想品德、课程学习、科研实践、创新能力和社会活动情况等五个方面进行评定。其中，研究生思想品德是研究生学业奖学金评选的基本条件，思想品德考核合格的研究生才有资格获得学业奖学金。对思想品德考核合格的研究生再依据课程学习、科研实践、创新能力和社会活动等四方面情况采取综合计分制进行奖学金等级评定。课程成绩、科研实践、创新能力和社会活动所占权重如下图所示：</w:t>
      </w:r>
    </w:p>
    <w:p w:rsidR="007778F7" w:rsidRDefault="00D348D3">
      <w:pPr>
        <w:widowControl/>
        <w:shd w:val="clear" w:color="auto" w:fill="FFFFFF"/>
        <w:spacing w:line="293" w:lineRule="atLeast"/>
        <w:ind w:firstLine="720"/>
        <w:jc w:val="center"/>
        <w:rPr>
          <w:rFonts w:ascii="宋体" w:eastAsia="宋体" w:hAnsi="宋体" w:cs="宋体"/>
          <w:kern w:val="0"/>
          <w:sz w:val="20"/>
          <w:szCs w:val="20"/>
        </w:rPr>
      </w:pPr>
      <w:r>
        <w:rPr>
          <w:rFonts w:ascii="仿宋_GB2312" w:eastAsia="仿宋_GB2312" w:hAnsi="宋体" w:cs="宋体" w:hint="eastAsia"/>
          <w:kern w:val="0"/>
          <w:sz w:val="32"/>
          <w:szCs w:val="32"/>
        </w:rPr>
        <w:t>学业奖学金各部分评定内容所占比例</w:t>
      </w:r>
    </w:p>
    <w:tbl>
      <w:tblPr>
        <w:tblW w:w="9075" w:type="dxa"/>
        <w:jc w:val="center"/>
        <w:tblCellMar>
          <w:left w:w="0" w:type="dxa"/>
          <w:right w:w="0" w:type="dxa"/>
        </w:tblCellMar>
        <w:tblLook w:val="04A0" w:firstRow="1" w:lastRow="0" w:firstColumn="1" w:lastColumn="0" w:noHBand="0" w:noVBand="1"/>
      </w:tblPr>
      <w:tblGrid>
        <w:gridCol w:w="816"/>
        <w:gridCol w:w="1756"/>
        <w:gridCol w:w="2284"/>
        <w:gridCol w:w="2110"/>
        <w:gridCol w:w="2109"/>
      </w:tblGrid>
      <w:tr w:rsidR="007778F7">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序号</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项目</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第二学年学业奖学金评定各部分所占权重</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第三学年学业奖学金评定各部分所占权重</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第四学年学业奖学金评定各部分所占权重</w:t>
            </w:r>
          </w:p>
        </w:tc>
      </w:tr>
      <w:tr w:rsidR="007778F7">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课程学习</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40%</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w:t>
            </w:r>
          </w:p>
        </w:tc>
        <w:tc>
          <w:tcPr>
            <w:tcW w:w="2159"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w:t>
            </w:r>
          </w:p>
        </w:tc>
      </w:tr>
      <w:tr w:rsidR="007778F7">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2</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科研实践</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20%</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20%</w:t>
            </w:r>
          </w:p>
        </w:tc>
        <w:tc>
          <w:tcPr>
            <w:tcW w:w="2159"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20%</w:t>
            </w:r>
          </w:p>
        </w:tc>
      </w:tr>
      <w:tr w:rsidR="007778F7">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3</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创新能力</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30%</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60%</w:t>
            </w:r>
          </w:p>
        </w:tc>
        <w:tc>
          <w:tcPr>
            <w:tcW w:w="2159"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60%</w:t>
            </w:r>
          </w:p>
        </w:tc>
      </w:tr>
      <w:tr w:rsidR="007778F7">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4</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社会活动情况</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w:t>
            </w:r>
          </w:p>
        </w:tc>
        <w:tc>
          <w:tcPr>
            <w:tcW w:w="2159"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w:t>
            </w:r>
          </w:p>
        </w:tc>
      </w:tr>
      <w:tr w:rsidR="007778F7">
        <w:trPr>
          <w:jc w:val="center"/>
        </w:trPr>
        <w:tc>
          <w:tcPr>
            <w:tcW w:w="262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合计</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100%</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100%</w:t>
            </w:r>
          </w:p>
        </w:tc>
        <w:tc>
          <w:tcPr>
            <w:tcW w:w="2159"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center"/>
              <w:rPr>
                <w:rFonts w:ascii="宋体" w:eastAsia="宋体" w:hAnsi="宋体" w:cs="宋体"/>
                <w:kern w:val="0"/>
                <w:sz w:val="24"/>
                <w:szCs w:val="24"/>
              </w:rPr>
            </w:pPr>
            <w:r>
              <w:rPr>
                <w:rFonts w:ascii="仿宋_GB2312" w:eastAsia="仿宋_GB2312" w:hAnsi="宋体" w:cs="宋体" w:hint="eastAsia"/>
                <w:kern w:val="0"/>
                <w:sz w:val="22"/>
              </w:rPr>
              <w:t>100%</w:t>
            </w:r>
          </w:p>
        </w:tc>
      </w:tr>
      <w:tr w:rsidR="007778F7">
        <w:trPr>
          <w:jc w:val="center"/>
        </w:trPr>
        <w:tc>
          <w:tcPr>
            <w:tcW w:w="92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00" w:lineRule="atLeast"/>
              <w:jc w:val="left"/>
              <w:rPr>
                <w:rFonts w:ascii="宋体" w:eastAsia="宋体" w:hAnsi="宋体" w:cs="宋体"/>
                <w:kern w:val="0"/>
                <w:sz w:val="24"/>
                <w:szCs w:val="24"/>
              </w:rPr>
            </w:pPr>
            <w:r>
              <w:rPr>
                <w:rFonts w:ascii="仿宋_GB2312" w:eastAsia="仿宋_GB2312" w:hAnsi="宋体" w:cs="宋体" w:hint="eastAsia"/>
                <w:kern w:val="0"/>
                <w:sz w:val="22"/>
              </w:rPr>
              <w:t>说明：研究生第二学年学业奖学金评定依据是研究生第一学年的课程学习成绩、科研实践、创新能力和社会活动情况进行评定。研究生第三学年学业奖学金评定依据是研究生第二学年的选修课程情况、科研实践、创新能力和社会活动情况进行评定。</w:t>
            </w:r>
          </w:p>
        </w:tc>
      </w:tr>
    </w:tbl>
    <w:p w:rsidR="007778F7" w:rsidRDefault="00D348D3">
      <w:pPr>
        <w:widowControl/>
        <w:shd w:val="clear" w:color="auto" w:fill="FFFFFF"/>
        <w:spacing w:line="293" w:lineRule="atLeast"/>
        <w:ind w:firstLine="480"/>
        <w:jc w:val="left"/>
        <w:rPr>
          <w:rFonts w:ascii="宋体" w:eastAsia="宋体" w:hAnsi="宋体" w:cs="宋体"/>
          <w:kern w:val="0"/>
          <w:sz w:val="24"/>
          <w:szCs w:val="24"/>
        </w:rPr>
      </w:pPr>
      <w:r>
        <w:rPr>
          <w:rFonts w:ascii="仿宋_GB2312" w:eastAsia="仿宋_GB2312" w:hAnsi="宋体" w:cs="宋体" w:hint="eastAsia"/>
          <w:b/>
          <w:bCs/>
          <w:kern w:val="0"/>
          <w:sz w:val="32"/>
          <w:szCs w:val="32"/>
        </w:rPr>
        <w:t>（一）研究生思想品德考核</w:t>
      </w:r>
    </w:p>
    <w:p w:rsidR="007778F7" w:rsidRDefault="00D348D3">
      <w:pPr>
        <w:widowControl/>
        <w:shd w:val="clear" w:color="auto" w:fill="FFFFFF"/>
        <w:spacing w:line="293" w:lineRule="atLeast"/>
        <w:ind w:firstLine="480"/>
        <w:jc w:val="left"/>
        <w:rPr>
          <w:rFonts w:ascii="宋体" w:eastAsia="宋体" w:hAnsi="宋体" w:cs="宋体"/>
          <w:kern w:val="0"/>
          <w:sz w:val="24"/>
          <w:szCs w:val="24"/>
        </w:rPr>
      </w:pPr>
      <w:r>
        <w:rPr>
          <w:rFonts w:ascii="仿宋_GB2312" w:eastAsia="仿宋_GB2312" w:hAnsi="宋体" w:cs="宋体" w:hint="eastAsia"/>
          <w:kern w:val="0"/>
          <w:sz w:val="32"/>
          <w:szCs w:val="32"/>
        </w:rPr>
        <w:lastRenderedPageBreak/>
        <w:t>博士研究生思想品德考核由研究生所在班级进行考核，主要考核研究生政治素质、品德修养、团队合作精神、遵守法律法规与学校规章制度情况和学术行为等方面。研究生所在班级班委对班级所有研究生的思想品德进行考核，并出具考核结果，上报至学院。有下列情况之一的研究生，思想品德考核为不合格，取消学业奖学金评定资格：</w:t>
      </w:r>
    </w:p>
    <w:p w:rsidR="007778F7" w:rsidRDefault="00D348D3">
      <w:pPr>
        <w:widowControl/>
        <w:shd w:val="clear" w:color="auto" w:fill="FFFFFF"/>
        <w:spacing w:line="293" w:lineRule="atLeast"/>
        <w:ind w:firstLine="720"/>
        <w:jc w:val="left"/>
        <w:rPr>
          <w:rFonts w:ascii="宋体" w:eastAsia="宋体" w:hAnsi="宋体" w:cs="宋体"/>
          <w:kern w:val="0"/>
          <w:sz w:val="20"/>
          <w:szCs w:val="20"/>
        </w:rPr>
      </w:pPr>
      <w:r>
        <w:rPr>
          <w:rFonts w:ascii="仿宋_GB2312" w:eastAsia="仿宋_GB2312" w:hAnsi="宋体" w:cs="宋体" w:hint="eastAsia"/>
          <w:kern w:val="0"/>
          <w:sz w:val="32"/>
          <w:szCs w:val="32"/>
        </w:rPr>
        <w:t>（1）受到国家和学校行政处分的研究生；</w:t>
      </w:r>
    </w:p>
    <w:p w:rsidR="007778F7" w:rsidRDefault="00D348D3">
      <w:pPr>
        <w:widowControl/>
        <w:shd w:val="clear" w:color="auto" w:fill="FFFFFF"/>
        <w:spacing w:line="293" w:lineRule="atLeast"/>
        <w:ind w:firstLine="720"/>
        <w:jc w:val="left"/>
        <w:rPr>
          <w:rFonts w:ascii="宋体" w:eastAsia="宋体" w:hAnsi="宋体" w:cs="宋体"/>
          <w:kern w:val="0"/>
          <w:sz w:val="20"/>
          <w:szCs w:val="20"/>
        </w:rPr>
      </w:pPr>
      <w:r>
        <w:rPr>
          <w:rFonts w:ascii="仿宋_GB2312" w:eastAsia="仿宋_GB2312" w:hAnsi="宋体" w:cs="宋体" w:hint="eastAsia"/>
          <w:kern w:val="0"/>
          <w:sz w:val="32"/>
          <w:szCs w:val="32"/>
        </w:rPr>
        <w:t>（2）经查实有学术不端行为的研究生。</w:t>
      </w:r>
    </w:p>
    <w:p w:rsidR="007778F7" w:rsidRDefault="00D348D3">
      <w:pPr>
        <w:widowControl/>
        <w:shd w:val="clear" w:color="auto" w:fill="FFFFFF"/>
        <w:spacing w:line="293" w:lineRule="atLeast"/>
        <w:ind w:firstLine="480"/>
        <w:jc w:val="left"/>
        <w:rPr>
          <w:rFonts w:ascii="宋体" w:eastAsia="宋体" w:hAnsi="宋体" w:cs="宋体"/>
          <w:kern w:val="0"/>
          <w:sz w:val="24"/>
          <w:szCs w:val="24"/>
        </w:rPr>
      </w:pPr>
      <w:r>
        <w:rPr>
          <w:rFonts w:ascii="仿宋_GB2312" w:eastAsia="仿宋_GB2312" w:hAnsi="宋体" w:cs="宋体" w:hint="eastAsia"/>
          <w:b/>
          <w:bCs/>
          <w:kern w:val="0"/>
          <w:sz w:val="32"/>
          <w:szCs w:val="32"/>
        </w:rPr>
        <w:t>（二）课程学习、科研实践、创新能力和社会活动考核计分办法</w:t>
      </w:r>
    </w:p>
    <w:p w:rsidR="00D348D3" w:rsidRPr="00A431B1" w:rsidRDefault="00D348D3" w:rsidP="00D348D3">
      <w:pPr>
        <w:widowControl/>
        <w:shd w:val="clear" w:color="auto" w:fill="FFFFFF"/>
        <w:spacing w:line="293" w:lineRule="atLeast"/>
        <w:ind w:firstLine="723"/>
        <w:rPr>
          <w:rFonts w:ascii="宋体" w:eastAsia="宋体" w:hAnsi="宋体" w:cs="宋体"/>
          <w:kern w:val="0"/>
          <w:sz w:val="20"/>
          <w:szCs w:val="20"/>
        </w:rPr>
      </w:pPr>
      <w:r w:rsidRPr="00A431B1">
        <w:rPr>
          <w:rFonts w:ascii="仿宋_GB2312" w:eastAsia="仿宋_GB2312" w:hAnsi="宋体" w:cs="宋体" w:hint="eastAsia"/>
          <w:b/>
          <w:bCs/>
          <w:kern w:val="0"/>
          <w:sz w:val="32"/>
          <w:szCs w:val="32"/>
        </w:rPr>
        <w:t>1.</w:t>
      </w:r>
      <w:r w:rsidRPr="00721CC1">
        <w:rPr>
          <w:rFonts w:ascii="仿宋_GB2312" w:eastAsia="仿宋_GB2312" w:hAnsi="宋体" w:cs="宋体" w:hint="eastAsia"/>
          <w:b/>
          <w:bCs/>
          <w:kern w:val="0"/>
          <w:sz w:val="32"/>
          <w:szCs w:val="32"/>
        </w:rPr>
        <w:t>课程学习考核计分办法</w:t>
      </w:r>
    </w:p>
    <w:p w:rsidR="00D348D3" w:rsidRPr="00A431B1" w:rsidRDefault="00D348D3" w:rsidP="00D348D3">
      <w:pPr>
        <w:widowControl/>
        <w:shd w:val="clear" w:color="auto" w:fill="FFFFFF"/>
        <w:spacing w:line="293" w:lineRule="atLeast"/>
        <w:ind w:firstLine="720"/>
        <w:rPr>
          <w:rFonts w:ascii="宋体" w:eastAsia="宋体" w:hAnsi="宋体" w:cs="宋体"/>
          <w:kern w:val="0"/>
          <w:sz w:val="20"/>
          <w:szCs w:val="20"/>
        </w:rPr>
      </w:pPr>
      <w:r w:rsidRPr="00A431B1">
        <w:rPr>
          <w:rFonts w:ascii="仿宋_GB2312" w:eastAsia="仿宋_GB2312" w:hAnsi="宋体" w:cs="宋体" w:hint="eastAsia"/>
          <w:kern w:val="0"/>
          <w:sz w:val="32"/>
          <w:szCs w:val="32"/>
        </w:rPr>
        <w:t>博士研究生培养计划中的所有课程均列入计算范围，补考或不及格者、</w:t>
      </w:r>
      <w:proofErr w:type="gramStart"/>
      <w:r w:rsidRPr="00A431B1">
        <w:rPr>
          <w:rFonts w:ascii="仿宋_GB2312" w:eastAsia="仿宋_GB2312" w:hAnsi="宋体" w:cs="宋体" w:hint="eastAsia"/>
          <w:kern w:val="0"/>
          <w:sz w:val="32"/>
          <w:szCs w:val="32"/>
        </w:rPr>
        <w:t>教务员处</w:t>
      </w:r>
      <w:proofErr w:type="gramEnd"/>
      <w:r w:rsidRPr="00A431B1">
        <w:rPr>
          <w:rFonts w:ascii="仿宋_GB2312" w:eastAsia="仿宋_GB2312" w:hAnsi="宋体" w:cs="宋体" w:hint="eastAsia"/>
          <w:kern w:val="0"/>
          <w:sz w:val="32"/>
          <w:szCs w:val="32"/>
        </w:rPr>
        <w:t>未收到试卷或答题册者，成绩一律计为0分。</w:t>
      </w:r>
    </w:p>
    <w:p w:rsidR="00D348D3" w:rsidRDefault="00D348D3" w:rsidP="00D348D3">
      <w:pPr>
        <w:widowControl/>
        <w:shd w:val="clear" w:color="auto" w:fill="FFFFFF"/>
        <w:spacing w:line="293" w:lineRule="atLeast"/>
        <w:ind w:leftChars="100" w:left="850" w:hangingChars="200" w:hanging="640"/>
        <w:jc w:val="left"/>
        <w:rPr>
          <w:rFonts w:ascii="仿宋_GB2312" w:eastAsia="仿宋_GB2312" w:hAnsi="宋体" w:cs="宋体"/>
          <w:kern w:val="0"/>
          <w:sz w:val="32"/>
          <w:szCs w:val="32"/>
        </w:rPr>
      </w:pPr>
      <w:r w:rsidRPr="00A431B1">
        <w:rPr>
          <w:rFonts w:ascii="仿宋_GB2312" w:eastAsia="仿宋_GB2312" w:hAnsi="宋体" w:cs="宋体" w:hint="eastAsia"/>
          <w:kern w:val="0"/>
          <w:sz w:val="32"/>
          <w:szCs w:val="32"/>
        </w:rPr>
        <w:t>课程成绩得分=</w:t>
      </w:r>
      <w:r w:rsidR="00181AD2">
        <w:rPr>
          <w:rFonts w:ascii="仿宋_GB2312" w:eastAsia="仿宋_GB2312" w:hAnsi="宋体" w:cs="宋体" w:hint="eastAsia"/>
          <w:kern w:val="0"/>
          <w:sz w:val="32"/>
          <w:szCs w:val="32"/>
        </w:rPr>
        <w:t>单科成绩总和</w:t>
      </w:r>
      <w:r w:rsidRPr="00A431B1">
        <w:rPr>
          <w:rFonts w:ascii="仿宋_GB2312" w:eastAsia="仿宋_GB2312" w:hAnsi="宋体" w:cs="宋体" w:hint="eastAsia"/>
          <w:kern w:val="0"/>
          <w:sz w:val="32"/>
          <w:szCs w:val="32"/>
        </w:rPr>
        <w:t>/总</w:t>
      </w:r>
      <w:r w:rsidR="00181AD2">
        <w:rPr>
          <w:rFonts w:ascii="仿宋_GB2312" w:eastAsia="仿宋_GB2312" w:hAnsi="宋体" w:cs="宋体" w:hint="eastAsia"/>
          <w:kern w:val="0"/>
          <w:sz w:val="32"/>
          <w:szCs w:val="32"/>
        </w:rPr>
        <w:t>科数</w:t>
      </w:r>
    </w:p>
    <w:p w:rsidR="007778F7" w:rsidRDefault="00D348D3" w:rsidP="00D348D3">
      <w:pPr>
        <w:widowControl/>
        <w:shd w:val="clear" w:color="auto" w:fill="FFFFFF"/>
        <w:spacing w:line="293" w:lineRule="atLeast"/>
        <w:ind w:leftChars="300" w:left="630"/>
        <w:jc w:val="left"/>
        <w:rPr>
          <w:rFonts w:ascii="宋体" w:eastAsia="宋体" w:hAnsi="宋体" w:cs="宋体"/>
          <w:kern w:val="0"/>
          <w:sz w:val="20"/>
          <w:szCs w:val="20"/>
        </w:rPr>
      </w:pPr>
      <w:r>
        <w:rPr>
          <w:rFonts w:ascii="仿宋_GB2312" w:eastAsia="仿宋_GB2312" w:hAnsi="宋体" w:cs="宋体" w:hint="eastAsia"/>
          <w:b/>
          <w:bCs/>
          <w:kern w:val="0"/>
          <w:sz w:val="32"/>
          <w:szCs w:val="32"/>
        </w:rPr>
        <w:t>2.科研实践考核计分办法</w:t>
      </w:r>
    </w:p>
    <w:p w:rsidR="007778F7" w:rsidRDefault="00D348D3">
      <w:pPr>
        <w:widowControl/>
        <w:shd w:val="clear" w:color="auto" w:fill="FFFFFF"/>
        <w:spacing w:line="293" w:lineRule="atLeast"/>
        <w:ind w:firstLine="720"/>
        <w:jc w:val="left"/>
        <w:rPr>
          <w:rFonts w:ascii="宋体" w:eastAsia="宋体" w:hAnsi="宋体" w:cs="宋体"/>
          <w:kern w:val="0"/>
          <w:sz w:val="20"/>
          <w:szCs w:val="20"/>
        </w:rPr>
      </w:pPr>
      <w:r>
        <w:rPr>
          <w:rFonts w:ascii="仿宋_GB2312" w:eastAsia="仿宋_GB2312" w:hAnsi="宋体" w:cs="宋体" w:hint="eastAsia"/>
          <w:kern w:val="0"/>
          <w:sz w:val="32"/>
          <w:szCs w:val="32"/>
        </w:rPr>
        <w:t>科研实践环节考核采取由研究生导师进行分等级考核。考核等级分优秀、良好和及格三个等级。优秀计90分、良好计80分和及格计60分。研究生导师根据研究生科研工作能力、工作是否积极主动、自我创新意识、组织管理和协调能力、在相关的课题研究中发挥的作用、学术研讨中的表现和参加国内外学术会议情况对研究生科研实</w:t>
      </w:r>
      <w:r>
        <w:rPr>
          <w:rFonts w:ascii="仿宋_GB2312" w:eastAsia="仿宋_GB2312" w:hAnsi="宋体" w:cs="宋体" w:hint="eastAsia"/>
          <w:kern w:val="0"/>
          <w:sz w:val="32"/>
          <w:szCs w:val="32"/>
        </w:rPr>
        <w:lastRenderedPageBreak/>
        <w:t>践活动</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综合评价。研究生参加国内外定期举行的学术会议，并且递交论文作会议交流（研究生是第一作者），每次可以加计30分。科研实践环节总得分计算公式如下：</w:t>
      </w:r>
    </w:p>
    <w:p w:rsidR="007778F7" w:rsidRDefault="00D348D3">
      <w:pPr>
        <w:widowControl/>
        <w:shd w:val="clear" w:color="auto" w:fill="FFFFFF"/>
        <w:spacing w:line="293" w:lineRule="atLeast"/>
        <w:ind w:firstLine="720"/>
        <w:jc w:val="left"/>
        <w:rPr>
          <w:rFonts w:ascii="宋体" w:eastAsia="宋体" w:hAnsi="宋体" w:cs="宋体"/>
          <w:kern w:val="0"/>
          <w:sz w:val="20"/>
          <w:szCs w:val="20"/>
        </w:rPr>
      </w:pPr>
      <w:r>
        <w:rPr>
          <w:rFonts w:ascii="仿宋_GB2312" w:eastAsia="仿宋_GB2312" w:hAnsi="宋体" w:cs="宋体" w:hint="eastAsia"/>
          <w:kern w:val="0"/>
          <w:sz w:val="32"/>
          <w:szCs w:val="32"/>
        </w:rPr>
        <w:t>科研实践环节总得分=考核等级得分+30×本学年参加国内外学术会议次数</w:t>
      </w:r>
    </w:p>
    <w:p w:rsidR="007778F7" w:rsidRDefault="00D348D3">
      <w:pPr>
        <w:widowControl/>
        <w:shd w:val="clear" w:color="auto" w:fill="FFFFFF"/>
        <w:spacing w:line="293" w:lineRule="atLeast"/>
        <w:ind w:firstLine="643"/>
        <w:jc w:val="left"/>
        <w:rPr>
          <w:rFonts w:ascii="宋体" w:eastAsia="宋体" w:hAnsi="宋体" w:cs="宋体"/>
          <w:kern w:val="0"/>
          <w:sz w:val="24"/>
          <w:szCs w:val="24"/>
        </w:rPr>
      </w:pPr>
      <w:r>
        <w:rPr>
          <w:rFonts w:ascii="仿宋_GB2312" w:eastAsia="仿宋_GB2312" w:hAnsi="宋体" w:cs="宋体" w:hint="eastAsia"/>
          <w:b/>
          <w:bCs/>
          <w:kern w:val="0"/>
          <w:sz w:val="32"/>
          <w:szCs w:val="32"/>
        </w:rPr>
        <w:t>3.创新能力考核计分办法</w:t>
      </w:r>
    </w:p>
    <w:p w:rsidR="007778F7" w:rsidRDefault="00D348D3">
      <w:pPr>
        <w:widowControl/>
        <w:shd w:val="clear" w:color="auto" w:fill="FFFFFF"/>
        <w:spacing w:line="500" w:lineRule="atLeas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具有表1，表2，表3中列举科研成果的，按照表1，表2，表3规定将相应数值累加。已经参与评比的成果不重复使用。</w:t>
      </w: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表1　学术论文分值计算标准表</w:t>
      </w:r>
    </w:p>
    <w:tbl>
      <w:tblPr>
        <w:tblW w:w="9073" w:type="dxa"/>
        <w:tblInd w:w="-176" w:type="dxa"/>
        <w:tblCellMar>
          <w:left w:w="0" w:type="dxa"/>
          <w:right w:w="0" w:type="dxa"/>
        </w:tblCellMar>
        <w:tblLook w:val="04A0" w:firstRow="1" w:lastRow="0" w:firstColumn="1" w:lastColumn="0" w:noHBand="0" w:noVBand="1"/>
      </w:tblPr>
      <w:tblGrid>
        <w:gridCol w:w="1124"/>
        <w:gridCol w:w="5640"/>
        <w:gridCol w:w="2309"/>
      </w:tblGrid>
      <w:tr w:rsidR="007778F7">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序号</w:t>
            </w:r>
          </w:p>
        </w:tc>
        <w:tc>
          <w:tcPr>
            <w:tcW w:w="5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发表场合</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分值</w:t>
            </w:r>
          </w:p>
        </w:tc>
      </w:tr>
      <w:tr w:rsidR="007778F7">
        <w:tc>
          <w:tcPr>
            <w:tcW w:w="11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SCI刊物影响因子≥1</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影响因子*50</w:t>
            </w:r>
          </w:p>
        </w:tc>
      </w:tr>
      <w:tr w:rsidR="007778F7">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SCI刊物影响因子＜1</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EI刊物</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核心刊物、EI刊物增刊</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一般学术刊物、核心刊物增刊</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15</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SCI检索国际会议</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EI检索国际会议</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25</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7</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ISTP检索国际会议</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8</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其他国际会议</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9</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全国性学术会议［公开发行会议论文集（包括全国博士生论坛）］</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全国性学术会议(没有公开发行，有论文集)</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省级创新基金</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12</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校级创新基金</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13</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实名参与专著编写并注明章节</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20分/10万字</w:t>
            </w:r>
          </w:p>
        </w:tc>
      </w:tr>
      <w:tr w:rsidR="007778F7">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14</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实名参加教材编写并注明章节</w:t>
            </w:r>
            <w:r>
              <w:rPr>
                <w:rFonts w:ascii="仿宋_GB2312" w:eastAsia="仿宋_GB2312" w:hAnsi="宋体" w:cs="宋体" w:hint="eastAsia"/>
                <w:kern w:val="0"/>
                <w:sz w:val="24"/>
                <w:szCs w:val="24"/>
              </w:rPr>
              <w:t> </w:t>
            </w: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10分/10万字</w:t>
            </w:r>
          </w:p>
        </w:tc>
      </w:tr>
    </w:tbl>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lastRenderedPageBreak/>
        <w:t>说明：</w:t>
      </w:r>
    </w:p>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（1）论文作者必须同时符合以下两个条件，才能享受表1</w:t>
      </w: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的计分：第一，论文第一作者为我院教师或研究生；第二，论文作者单位必须为“南京理工大学材料学院”，并且为第一排名单位。</w:t>
      </w:r>
    </w:p>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（2）论文第二作者仅限于导师是第一作者，该学术论文分值按60%计算；</w:t>
      </w:r>
    </w:p>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（3）所有论文以正式发表为准。</w:t>
      </w: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w:t>
      </w: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表2　科研获奖分值计算标准表</w:t>
      </w:r>
    </w:p>
    <w:tbl>
      <w:tblPr>
        <w:tblW w:w="8295" w:type="dxa"/>
        <w:tblCellMar>
          <w:left w:w="0" w:type="dxa"/>
          <w:right w:w="0" w:type="dxa"/>
        </w:tblCellMar>
        <w:tblLook w:val="04A0" w:firstRow="1" w:lastRow="0" w:firstColumn="1" w:lastColumn="0" w:noHBand="0" w:noVBand="1"/>
      </w:tblPr>
      <w:tblGrid>
        <w:gridCol w:w="1080"/>
        <w:gridCol w:w="1202"/>
        <w:gridCol w:w="1203"/>
        <w:gridCol w:w="1202"/>
        <w:gridCol w:w="1203"/>
        <w:gridCol w:w="1202"/>
        <w:gridCol w:w="1203"/>
      </w:tblGrid>
      <w:tr w:rsidR="007778F7">
        <w:trPr>
          <w:trHeight w:val="340"/>
        </w:trPr>
        <w:tc>
          <w:tcPr>
            <w:tcW w:w="108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获奖类别</w:t>
            </w:r>
          </w:p>
        </w:tc>
        <w:tc>
          <w:tcPr>
            <w:tcW w:w="120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获奖</w:t>
            </w:r>
          </w:p>
        </w:tc>
        <w:tc>
          <w:tcPr>
            <w:tcW w:w="120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排名第一</w:t>
            </w:r>
          </w:p>
        </w:tc>
        <w:tc>
          <w:tcPr>
            <w:tcW w:w="120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排名第二</w:t>
            </w:r>
          </w:p>
        </w:tc>
        <w:tc>
          <w:tcPr>
            <w:tcW w:w="120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排名第三</w:t>
            </w:r>
          </w:p>
        </w:tc>
        <w:tc>
          <w:tcPr>
            <w:tcW w:w="120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排名第四</w:t>
            </w:r>
          </w:p>
        </w:tc>
        <w:tc>
          <w:tcPr>
            <w:tcW w:w="120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排名第五</w:t>
            </w:r>
          </w:p>
        </w:tc>
      </w:tr>
      <w:tr w:rsidR="007778F7">
        <w:trPr>
          <w:trHeight w:val="340"/>
        </w:trPr>
        <w:tc>
          <w:tcPr>
            <w:tcW w:w="108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国家级奖</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80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80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r>
      <w:tr w:rsidR="007778F7">
        <w:trPr>
          <w:trHeight w:val="340"/>
        </w:trPr>
        <w:tc>
          <w:tcPr>
            <w:tcW w:w="108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省部级奖</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r>
      <w:tr w:rsidR="007778F7">
        <w:trPr>
          <w:trHeight w:val="340"/>
        </w:trPr>
        <w:tc>
          <w:tcPr>
            <w:tcW w:w="108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市厅级奖</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3</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w:t>
            </w:r>
          </w:p>
        </w:tc>
      </w:tr>
      <w:tr w:rsidR="007778F7">
        <w:trPr>
          <w:trHeight w:val="340"/>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15</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5</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w:t>
            </w:r>
          </w:p>
        </w:tc>
        <w:tc>
          <w:tcPr>
            <w:tcW w:w="1202"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xml:space="preserve">　</w:t>
            </w:r>
          </w:p>
        </w:tc>
        <w:tc>
          <w:tcPr>
            <w:tcW w:w="1203" w:type="dxa"/>
            <w:tcBorders>
              <w:top w:val="nil"/>
              <w:left w:val="nil"/>
              <w:bottom w:val="single" w:sz="8" w:space="0" w:color="auto"/>
              <w:right w:val="single" w:sz="8" w:space="0" w:color="auto"/>
            </w:tcBorders>
            <w:tcMar>
              <w:top w:w="15" w:type="dxa"/>
              <w:left w:w="15" w:type="dxa"/>
              <w:bottom w:w="0" w:type="dxa"/>
              <w:right w:w="15"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xml:space="preserve">　</w:t>
            </w:r>
          </w:p>
        </w:tc>
      </w:tr>
    </w:tbl>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 </w:t>
      </w: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表3　发明专利奖分值计算标准表</w:t>
      </w:r>
    </w:p>
    <w:tbl>
      <w:tblPr>
        <w:tblW w:w="9075" w:type="dxa"/>
        <w:jc w:val="center"/>
        <w:tblCellMar>
          <w:left w:w="0" w:type="dxa"/>
          <w:right w:w="0" w:type="dxa"/>
        </w:tblCellMar>
        <w:tblLook w:val="04A0" w:firstRow="1" w:lastRow="0" w:firstColumn="1" w:lastColumn="0" w:noHBand="0" w:noVBand="1"/>
      </w:tblPr>
      <w:tblGrid>
        <w:gridCol w:w="3918"/>
        <w:gridCol w:w="3146"/>
        <w:gridCol w:w="2011"/>
      </w:tblGrid>
      <w:tr w:rsidR="007778F7">
        <w:trPr>
          <w:jc w:val="center"/>
        </w:trPr>
        <w:tc>
          <w:tcPr>
            <w:tcW w:w="24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授权发明专利</w:t>
            </w:r>
          </w:p>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（有专利证书）</w:t>
            </w:r>
          </w:p>
        </w:tc>
        <w:tc>
          <w:tcPr>
            <w:tcW w:w="1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第一发明人</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50分</w:t>
            </w:r>
          </w:p>
        </w:tc>
      </w:tr>
      <w:tr w:rsidR="007778F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第二发明人</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30分</w:t>
            </w:r>
          </w:p>
        </w:tc>
      </w:tr>
      <w:tr w:rsidR="007778F7">
        <w:trPr>
          <w:jc w:val="center"/>
        </w:trPr>
        <w:tc>
          <w:tcPr>
            <w:tcW w:w="24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申请发明专利</w:t>
            </w:r>
          </w:p>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w:t>
            </w:r>
            <w:proofErr w:type="gramStart"/>
            <w:r>
              <w:rPr>
                <w:rFonts w:ascii="仿宋_GB2312" w:eastAsia="仿宋_GB2312" w:hAnsi="宋体" w:cs="宋体" w:hint="eastAsia"/>
                <w:kern w:val="0"/>
                <w:sz w:val="24"/>
                <w:szCs w:val="24"/>
              </w:rPr>
              <w:t>有授理</w:t>
            </w:r>
            <w:proofErr w:type="gramEnd"/>
            <w:r>
              <w:rPr>
                <w:rFonts w:ascii="仿宋_GB2312" w:eastAsia="仿宋_GB2312" w:hAnsi="宋体" w:cs="宋体" w:hint="eastAsia"/>
                <w:kern w:val="0"/>
                <w:sz w:val="24"/>
                <w:szCs w:val="24"/>
              </w:rPr>
              <w:t>号）</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第一发明人</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20分</w:t>
            </w:r>
          </w:p>
        </w:tc>
      </w:tr>
      <w:tr w:rsidR="007778F7">
        <w:trPr>
          <w:jc w:val="center"/>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第二发明人</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10分</w:t>
            </w:r>
          </w:p>
        </w:tc>
      </w:tr>
    </w:tbl>
    <w:p w:rsidR="007778F7" w:rsidRDefault="00D348D3">
      <w:pPr>
        <w:widowControl/>
        <w:shd w:val="clear" w:color="auto" w:fill="FFFFFF"/>
        <w:spacing w:line="293" w:lineRule="atLeast"/>
        <w:jc w:val="center"/>
        <w:rPr>
          <w:rFonts w:ascii="宋体" w:eastAsia="宋体" w:hAnsi="宋体" w:cs="宋体"/>
          <w:kern w:val="0"/>
          <w:sz w:val="24"/>
          <w:szCs w:val="24"/>
        </w:rPr>
      </w:pPr>
      <w:r>
        <w:rPr>
          <w:rFonts w:ascii="仿宋_GB2312" w:eastAsia="仿宋_GB2312" w:hAnsi="宋体" w:cs="宋体" w:hint="eastAsia"/>
          <w:b/>
          <w:bCs/>
          <w:kern w:val="0"/>
          <w:sz w:val="24"/>
          <w:szCs w:val="24"/>
        </w:rPr>
        <w:t>附加分计分查分表</w:t>
      </w:r>
    </w:p>
    <w:tbl>
      <w:tblPr>
        <w:tblW w:w="9498" w:type="dxa"/>
        <w:tblInd w:w="-318" w:type="dxa"/>
        <w:tblCellMar>
          <w:left w:w="0" w:type="dxa"/>
          <w:right w:w="0" w:type="dxa"/>
        </w:tblCellMar>
        <w:tblLook w:val="04A0" w:firstRow="1" w:lastRow="0" w:firstColumn="1" w:lastColumn="0" w:noHBand="0" w:noVBand="1"/>
      </w:tblPr>
      <w:tblGrid>
        <w:gridCol w:w="1277"/>
        <w:gridCol w:w="1134"/>
        <w:gridCol w:w="850"/>
        <w:gridCol w:w="6237"/>
      </w:tblGrid>
      <w:tr w:rsidR="007778F7">
        <w:trPr>
          <w:trHeight w:val="759"/>
        </w:trPr>
        <w:tc>
          <w:tcPr>
            <w:tcW w:w="2411"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内容</w:t>
            </w:r>
          </w:p>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加分</w:t>
            </w:r>
          </w:p>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等级</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党团表彰、校园文化活动、社会实践、实验技能、科技竞赛、科技学术活动等</w:t>
            </w:r>
          </w:p>
        </w:tc>
      </w:tr>
      <w:tr w:rsidR="007778F7">
        <w:trPr>
          <w:trHeight w:val="316"/>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个人</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集体</w:t>
            </w:r>
            <w:proofErr w:type="gramStart"/>
            <w:r>
              <w:rPr>
                <w:rFonts w:ascii="仿宋_GB2312" w:eastAsia="仿宋_GB2312" w:hAnsi="宋体" w:cs="宋体" w:hint="eastAsia"/>
                <w:kern w:val="0"/>
                <w:sz w:val="24"/>
                <w:szCs w:val="24"/>
              </w:rPr>
              <w:t>类队员</w:t>
            </w:r>
            <w:proofErr w:type="gramEnd"/>
            <w:r>
              <w:rPr>
                <w:rFonts w:ascii="仿宋_GB2312" w:eastAsia="仿宋_GB2312" w:hAnsi="宋体" w:cs="宋体" w:hint="eastAsia"/>
                <w:kern w:val="0"/>
                <w:sz w:val="24"/>
                <w:szCs w:val="24"/>
              </w:rPr>
              <w:t>加分</w:t>
            </w:r>
          </w:p>
        </w:tc>
      </w:tr>
      <w:tr w:rsidR="007778F7">
        <w:trPr>
          <w:trHeight w:val="344"/>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国家级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特等奖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16</w:t>
            </w:r>
          </w:p>
        </w:tc>
        <w:tc>
          <w:tcPr>
            <w:tcW w:w="62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主要组织者1-2人，在对应获奖级别的个人分上加4分；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参与组织者1-2人，在对应的获奖级别的个人上加3分；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其他成员，与对应获奖级别的个人分相等。</w:t>
            </w:r>
          </w:p>
        </w:tc>
      </w:tr>
      <w:tr w:rsidR="007778F7">
        <w:trPr>
          <w:trHeight w:val="361"/>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14</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44"/>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12</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61"/>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44"/>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省市级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特等奖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12</w:t>
            </w:r>
          </w:p>
        </w:tc>
        <w:tc>
          <w:tcPr>
            <w:tcW w:w="62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主要组织者1-2人，在对应获奖级别的个人分上加3分；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参与组织者1-2人，在对应的获奖级别的个人上加2分；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其他成员，与对应获奖级别的个人分相等。</w:t>
            </w:r>
          </w:p>
        </w:tc>
      </w:tr>
      <w:tr w:rsidR="007778F7">
        <w:trPr>
          <w:trHeight w:val="361"/>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44"/>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8</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44"/>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61"/>
        </w:trPr>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校级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特等奖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4</w:t>
            </w:r>
          </w:p>
        </w:tc>
        <w:tc>
          <w:tcPr>
            <w:tcW w:w="62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主要组织者1-2人，在对应获奖级别的个人分上加1分；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参与组织者1-2人，在对应的获奖级别的个人上加0.5分；</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其他成员，与对应获奖级别的个人分相等。</w:t>
            </w:r>
          </w:p>
          <w:p w:rsidR="007778F7" w:rsidRDefault="00D348D3">
            <w:pPr>
              <w:widowControl/>
              <w:spacing w:line="440" w:lineRule="atLeast"/>
              <w:jc w:val="left"/>
              <w:rPr>
                <w:rFonts w:ascii="宋体" w:eastAsia="宋体" w:hAnsi="宋体" w:cs="宋体"/>
                <w:kern w:val="0"/>
                <w:sz w:val="24"/>
                <w:szCs w:val="24"/>
              </w:rPr>
            </w:pPr>
            <w:r>
              <w:rPr>
                <w:rFonts w:ascii="仿宋_GB2312" w:eastAsia="仿宋_GB2312" w:hAnsi="宋体" w:cs="宋体" w:hint="eastAsia"/>
                <w:kern w:val="0"/>
                <w:sz w:val="24"/>
                <w:szCs w:val="24"/>
              </w:rPr>
              <w:t> </w:t>
            </w:r>
          </w:p>
        </w:tc>
      </w:tr>
      <w:tr w:rsidR="007778F7">
        <w:trPr>
          <w:trHeight w:val="344"/>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一等奖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2</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61"/>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二等奖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r w:rsidR="007778F7">
        <w:trPr>
          <w:trHeight w:val="361"/>
        </w:trPr>
        <w:tc>
          <w:tcPr>
            <w:tcW w:w="0" w:type="auto"/>
            <w:vMerge/>
            <w:tcBorders>
              <w:top w:val="nil"/>
              <w:left w:val="single" w:sz="8" w:space="0" w:color="auto"/>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三等奖</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44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0.5</w:t>
            </w:r>
          </w:p>
        </w:tc>
        <w:tc>
          <w:tcPr>
            <w:tcW w:w="0" w:type="auto"/>
            <w:vMerge/>
            <w:tcBorders>
              <w:top w:val="nil"/>
              <w:left w:val="nil"/>
              <w:bottom w:val="single" w:sz="8" w:space="0" w:color="auto"/>
              <w:right w:val="single" w:sz="8" w:space="0" w:color="auto"/>
            </w:tcBorders>
            <w:vAlign w:val="center"/>
          </w:tcPr>
          <w:p w:rsidR="007778F7" w:rsidRDefault="007778F7">
            <w:pPr>
              <w:widowControl/>
              <w:jc w:val="left"/>
              <w:rPr>
                <w:rFonts w:ascii="宋体" w:eastAsia="宋体" w:hAnsi="宋体" w:cs="宋体"/>
                <w:kern w:val="0"/>
                <w:sz w:val="24"/>
                <w:szCs w:val="24"/>
              </w:rPr>
            </w:pPr>
          </w:p>
        </w:tc>
      </w:tr>
    </w:tbl>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注：1）上学年三好表彰和专项奖学金获奖不在加分之列；</w:t>
      </w:r>
    </w:p>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 xml:space="preserve">  2）党内表彰无等级按一等计分，团内表彰无等级按二等计；</w:t>
      </w:r>
    </w:p>
    <w:p w:rsidR="007778F7" w:rsidRDefault="00D348D3">
      <w:pPr>
        <w:widowControl/>
        <w:shd w:val="clear" w:color="auto" w:fill="FFFFFF"/>
        <w:spacing w:line="440" w:lineRule="atLeast"/>
        <w:ind w:firstLine="480"/>
        <w:jc w:val="left"/>
        <w:rPr>
          <w:rFonts w:ascii="宋体" w:eastAsia="宋体" w:hAnsi="宋体" w:cs="宋体"/>
          <w:kern w:val="0"/>
          <w:sz w:val="24"/>
          <w:szCs w:val="24"/>
        </w:rPr>
      </w:pP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3）同一学年同一成果多次获奖按最高等级只加一次分；</w:t>
      </w:r>
    </w:p>
    <w:p w:rsidR="007778F7" w:rsidRDefault="00D348D3">
      <w:pPr>
        <w:widowControl/>
        <w:shd w:val="clear" w:color="auto" w:fill="FFFFFF"/>
        <w:spacing w:line="440" w:lineRule="atLeast"/>
        <w:ind w:firstLine="960"/>
        <w:jc w:val="left"/>
        <w:rPr>
          <w:rFonts w:ascii="宋体" w:eastAsia="宋体" w:hAnsi="宋体" w:cs="宋体"/>
          <w:kern w:val="0"/>
          <w:sz w:val="24"/>
          <w:szCs w:val="24"/>
        </w:rPr>
      </w:pPr>
      <w:r>
        <w:rPr>
          <w:rFonts w:ascii="仿宋_GB2312" w:eastAsia="仿宋_GB2312" w:hAnsi="宋体" w:cs="宋体" w:hint="eastAsia"/>
          <w:kern w:val="0"/>
          <w:sz w:val="24"/>
          <w:szCs w:val="24"/>
        </w:rPr>
        <w:t>4）同一成果跨学年多次获奖，按最高级别加分减去已加分加分；</w:t>
      </w:r>
    </w:p>
    <w:p w:rsidR="007778F7" w:rsidRDefault="00D348D3">
      <w:pPr>
        <w:widowControl/>
        <w:shd w:val="clear" w:color="auto" w:fill="FFFFFF"/>
        <w:spacing w:line="293" w:lineRule="atLeast"/>
        <w:ind w:firstLine="643"/>
        <w:jc w:val="left"/>
        <w:rPr>
          <w:rFonts w:ascii="宋体" w:eastAsia="宋体" w:hAnsi="宋体" w:cs="宋体"/>
          <w:kern w:val="0"/>
          <w:sz w:val="24"/>
          <w:szCs w:val="24"/>
        </w:rPr>
      </w:pPr>
      <w:r>
        <w:rPr>
          <w:rFonts w:ascii="仿宋_GB2312" w:eastAsia="仿宋_GB2312" w:hAnsi="宋体" w:cs="宋体" w:hint="eastAsia"/>
          <w:b/>
          <w:bCs/>
          <w:kern w:val="0"/>
          <w:sz w:val="32"/>
          <w:szCs w:val="32"/>
        </w:rPr>
        <w:t>4.社会活动情况</w:t>
      </w:r>
    </w:p>
    <w:p w:rsidR="007778F7" w:rsidRDefault="00D348D3">
      <w:pPr>
        <w:widowControl/>
        <w:shd w:val="clear" w:color="auto" w:fill="FFFFFF"/>
        <w:spacing w:line="293" w:lineRule="atLeas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社会活动情况是指研究生必须参加新生入学教育活动、学校与学院组织的各项课外活动（包括学院研究生学术论坛、运动会、其他活动）等。考核采取逐项加分方式。</w:t>
      </w:r>
    </w:p>
    <w:p w:rsidR="007778F7" w:rsidRDefault="00D348D3">
      <w:pPr>
        <w:widowControl/>
        <w:shd w:val="clear" w:color="auto" w:fill="FFFFFF"/>
        <w:spacing w:line="293" w:lineRule="atLeast"/>
        <w:ind w:firstLine="480"/>
        <w:jc w:val="left"/>
        <w:rPr>
          <w:rFonts w:ascii="宋体" w:eastAsia="宋体" w:hAnsi="宋体" w:cs="宋体"/>
          <w:kern w:val="0"/>
          <w:sz w:val="24"/>
          <w:szCs w:val="24"/>
        </w:rPr>
      </w:pPr>
      <w:r>
        <w:rPr>
          <w:rFonts w:ascii="仿宋_GB2312" w:eastAsia="仿宋_GB2312" w:hAnsi="宋体" w:cs="宋体" w:hint="eastAsia"/>
          <w:kern w:val="0"/>
          <w:sz w:val="32"/>
          <w:szCs w:val="32"/>
        </w:rPr>
        <w:t>（1）研究生参加新生入学教育活动和学院研究生学术论坛每项加10分（由学院研究生辅导员负责考核）。研究生参加学校和学院组织的各项课外活动并获奖，每项活动加10分（需提供获奖证明）。</w:t>
      </w:r>
    </w:p>
    <w:p w:rsidR="007778F7" w:rsidRDefault="00D348D3">
      <w:pPr>
        <w:widowControl/>
        <w:shd w:val="clear" w:color="auto" w:fill="FFFFFF"/>
        <w:spacing w:line="293" w:lineRule="atLeast"/>
        <w:ind w:right="-512" w:firstLine="160"/>
        <w:jc w:val="left"/>
        <w:rPr>
          <w:rFonts w:ascii="宋体" w:eastAsia="宋体" w:hAnsi="宋体" w:cs="宋体"/>
          <w:kern w:val="0"/>
          <w:sz w:val="24"/>
          <w:szCs w:val="24"/>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（2）研究生干部加分</w:t>
      </w:r>
    </w:p>
    <w:p w:rsidR="007778F7" w:rsidRDefault="00D348D3">
      <w:pPr>
        <w:widowControl/>
        <w:shd w:val="clear" w:color="auto" w:fill="FFFFFF"/>
        <w:spacing w:line="293" w:lineRule="atLeast"/>
        <w:ind w:right="-512" w:firstLine="640"/>
        <w:jc w:val="left"/>
        <w:rPr>
          <w:rFonts w:ascii="宋体" w:eastAsia="宋体" w:hAnsi="宋体" w:cs="宋体"/>
          <w:kern w:val="0"/>
          <w:sz w:val="24"/>
          <w:szCs w:val="24"/>
        </w:rPr>
      </w:pPr>
      <w:r>
        <w:rPr>
          <w:rFonts w:ascii="仿宋_GB2312" w:eastAsia="仿宋_GB2312" w:hAnsi="宋体" w:cs="宋体" w:hint="eastAsia"/>
          <w:kern w:val="0"/>
          <w:sz w:val="32"/>
          <w:szCs w:val="32"/>
        </w:rPr>
        <w:lastRenderedPageBreak/>
        <w:t>担任辅导员助理、学院研究生会干部、党支部委员和班委的研究生，经学院学生工作办公室考核合格，按以下标准加分。</w:t>
      </w:r>
    </w:p>
    <w:tbl>
      <w:tblPr>
        <w:tblW w:w="9288" w:type="dxa"/>
        <w:tblCellMar>
          <w:left w:w="0" w:type="dxa"/>
          <w:right w:w="0" w:type="dxa"/>
        </w:tblCellMar>
        <w:tblLook w:val="04A0" w:firstRow="1" w:lastRow="0" w:firstColumn="1" w:lastColumn="0" w:noHBand="0" w:noVBand="1"/>
      </w:tblPr>
      <w:tblGrid>
        <w:gridCol w:w="5868"/>
        <w:gridCol w:w="3420"/>
      </w:tblGrid>
      <w:tr w:rsidR="007778F7">
        <w:tc>
          <w:tcPr>
            <w:tcW w:w="5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研究生干部类别</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加分标准</w:t>
            </w:r>
          </w:p>
        </w:tc>
      </w:tr>
      <w:tr w:rsidR="007778F7">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学院研究生会主席、校研究生</w:t>
            </w:r>
            <w:proofErr w:type="gramStart"/>
            <w:r>
              <w:rPr>
                <w:rFonts w:ascii="仿宋_GB2312" w:eastAsia="仿宋_GB2312" w:hAnsi="宋体" w:cs="宋体" w:hint="eastAsia"/>
                <w:kern w:val="0"/>
                <w:sz w:val="24"/>
                <w:szCs w:val="24"/>
              </w:rPr>
              <w:t>会部长</w:t>
            </w:r>
            <w:proofErr w:type="gramEnd"/>
            <w:r>
              <w:rPr>
                <w:rFonts w:ascii="仿宋_GB2312" w:eastAsia="仿宋_GB2312" w:hAnsi="宋体" w:cs="宋体" w:hint="eastAsia"/>
                <w:kern w:val="0"/>
                <w:sz w:val="24"/>
                <w:szCs w:val="24"/>
              </w:rPr>
              <w:t>以上</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20</w:t>
            </w:r>
          </w:p>
        </w:tc>
      </w:tr>
      <w:tr w:rsidR="007778F7">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研究生会副主席</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15</w:t>
            </w:r>
          </w:p>
        </w:tc>
      </w:tr>
      <w:tr w:rsidR="007778F7">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研究生</w:t>
            </w:r>
            <w:proofErr w:type="gramStart"/>
            <w:r>
              <w:rPr>
                <w:rFonts w:ascii="仿宋_GB2312" w:eastAsia="仿宋_GB2312" w:hAnsi="宋体" w:cs="宋体" w:hint="eastAsia"/>
                <w:kern w:val="0"/>
                <w:sz w:val="24"/>
                <w:szCs w:val="24"/>
              </w:rPr>
              <w:t>会部长</w:t>
            </w:r>
            <w:proofErr w:type="gramEnd"/>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r w:rsidR="007778F7">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党支部委员</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r w:rsidR="007778F7">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班委</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778F7" w:rsidRDefault="00D348D3">
            <w:pPr>
              <w:widowControl/>
              <w:spacing w:line="293" w:lineRule="atLeast"/>
              <w:ind w:right="-512"/>
              <w:jc w:val="center"/>
              <w:rPr>
                <w:rFonts w:ascii="宋体" w:eastAsia="宋体" w:hAnsi="宋体" w:cs="宋体"/>
                <w:kern w:val="0"/>
                <w:sz w:val="24"/>
                <w:szCs w:val="24"/>
              </w:rPr>
            </w:pPr>
            <w:r>
              <w:rPr>
                <w:rFonts w:ascii="仿宋_GB2312" w:eastAsia="仿宋_GB2312" w:hAnsi="宋体" w:cs="宋体" w:hint="eastAsia"/>
                <w:kern w:val="0"/>
                <w:sz w:val="24"/>
                <w:szCs w:val="24"/>
              </w:rPr>
              <w:t>10</w:t>
            </w:r>
          </w:p>
        </w:tc>
      </w:tr>
    </w:tbl>
    <w:p w:rsidR="007778F7" w:rsidRDefault="00D348D3">
      <w:pPr>
        <w:widowControl/>
        <w:shd w:val="clear" w:color="auto" w:fill="FFFFFF"/>
        <w:spacing w:line="293" w:lineRule="atLeast"/>
        <w:ind w:firstLine="482"/>
        <w:jc w:val="left"/>
        <w:rPr>
          <w:rFonts w:ascii="宋体" w:eastAsia="宋体" w:hAnsi="宋体" w:cs="宋体"/>
          <w:kern w:val="0"/>
          <w:sz w:val="24"/>
          <w:szCs w:val="24"/>
        </w:rPr>
      </w:pPr>
      <w:r>
        <w:rPr>
          <w:rFonts w:ascii="仿宋_GB2312" w:eastAsia="仿宋_GB2312" w:hAnsi="宋体" w:cs="宋体" w:hint="eastAsia"/>
          <w:kern w:val="0"/>
          <w:sz w:val="32"/>
          <w:szCs w:val="32"/>
        </w:rPr>
        <w:t>研究生干部身兼数职的，按照较高级别加分。</w:t>
      </w:r>
    </w:p>
    <w:p w:rsidR="007778F7" w:rsidRDefault="00D348D3">
      <w:pPr>
        <w:widowControl/>
        <w:shd w:val="clear" w:color="auto" w:fill="FFFFFF"/>
        <w:spacing w:line="293" w:lineRule="atLeast"/>
        <w:ind w:firstLine="482"/>
        <w:jc w:val="left"/>
        <w:rPr>
          <w:rFonts w:ascii="宋体" w:eastAsia="宋体" w:hAnsi="宋体" w:cs="宋体"/>
          <w:kern w:val="0"/>
          <w:sz w:val="24"/>
          <w:szCs w:val="24"/>
        </w:rPr>
      </w:pPr>
      <w:r>
        <w:rPr>
          <w:rFonts w:ascii="仿宋_GB2312" w:eastAsia="仿宋_GB2312" w:hAnsi="宋体" w:cs="宋体" w:hint="eastAsia"/>
          <w:kern w:val="0"/>
          <w:sz w:val="32"/>
          <w:szCs w:val="32"/>
        </w:rPr>
        <w:t>社会活动得分=参加集体活动得分+研究生干部得分</w:t>
      </w:r>
    </w:p>
    <w:p w:rsidR="007778F7" w:rsidRDefault="00D348D3">
      <w:pPr>
        <w:widowControl/>
        <w:shd w:val="clear" w:color="auto" w:fill="FFFFFF"/>
        <w:spacing w:line="293" w:lineRule="atLeast"/>
        <w:ind w:firstLine="482"/>
        <w:jc w:val="left"/>
        <w:rPr>
          <w:rFonts w:ascii="宋体" w:eastAsia="宋体" w:hAnsi="宋体" w:cs="宋体"/>
          <w:kern w:val="0"/>
          <w:sz w:val="24"/>
          <w:szCs w:val="24"/>
        </w:rPr>
      </w:pPr>
      <w:r>
        <w:rPr>
          <w:rFonts w:ascii="仿宋_GB2312" w:eastAsia="仿宋_GB2312" w:hAnsi="宋体" w:cs="宋体" w:hint="eastAsia"/>
          <w:kern w:val="0"/>
          <w:sz w:val="32"/>
          <w:szCs w:val="32"/>
        </w:rPr>
        <w:t>课程学习、科研实践、创新能力和社会活动总得分=各环节得分×该环节所占权重</w:t>
      </w:r>
    </w:p>
    <w:p w:rsidR="007778F7" w:rsidRDefault="00D348D3">
      <w:pPr>
        <w:widowControl/>
        <w:shd w:val="clear" w:color="auto" w:fill="FFFFFF"/>
        <w:spacing w:line="293" w:lineRule="atLeast"/>
        <w:ind w:firstLine="480"/>
        <w:jc w:val="left"/>
        <w:rPr>
          <w:rFonts w:ascii="宋体" w:eastAsia="宋体" w:hAnsi="宋体" w:cs="宋体"/>
          <w:kern w:val="0"/>
          <w:sz w:val="24"/>
          <w:szCs w:val="24"/>
        </w:rPr>
      </w:pPr>
      <w:r>
        <w:rPr>
          <w:rFonts w:ascii="仿宋_GB2312" w:eastAsia="仿宋_GB2312" w:hAnsi="宋体" w:cs="宋体" w:hint="eastAsia"/>
          <w:b/>
          <w:bCs/>
          <w:kern w:val="0"/>
          <w:sz w:val="32"/>
          <w:szCs w:val="32"/>
        </w:rPr>
        <w:t>（三）第二、三、四学年博士研究生学业奖学金评定程序</w:t>
      </w:r>
    </w:p>
    <w:p w:rsidR="007778F7" w:rsidRDefault="00D348D3">
      <w:pPr>
        <w:widowControl/>
        <w:shd w:val="clear" w:color="auto" w:fill="FFFFFF"/>
        <w:spacing w:line="293" w:lineRule="atLeas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1.个人申请。博士研究生根据《南京理工大学材料科学与工程学院研究生学业奖学金评定实施细则》，结合自己每年9月1日至次年8月31日实际情况，提交个人申请表和相关证明材料。</w:t>
      </w:r>
    </w:p>
    <w:p w:rsidR="007778F7" w:rsidRDefault="00D348D3">
      <w:pPr>
        <w:widowControl/>
        <w:shd w:val="clear" w:color="auto" w:fill="FFFFFF"/>
        <w:spacing w:line="293" w:lineRule="atLeast"/>
        <w:ind w:firstLine="482"/>
        <w:jc w:val="left"/>
        <w:rPr>
          <w:rFonts w:ascii="宋体" w:eastAsia="宋体" w:hAnsi="宋体" w:cs="宋体"/>
          <w:kern w:val="0"/>
          <w:sz w:val="24"/>
          <w:szCs w:val="24"/>
        </w:rPr>
      </w:pPr>
      <w:r>
        <w:rPr>
          <w:rFonts w:ascii="仿宋_GB2312" w:eastAsia="仿宋_GB2312" w:hAnsi="宋体" w:cs="宋体" w:hint="eastAsia"/>
          <w:kern w:val="0"/>
          <w:sz w:val="32"/>
          <w:szCs w:val="32"/>
        </w:rPr>
        <w:t>2.学院审定。在参考导师推荐意见的基础上，材料学院研究生学业奖学金评定领导小组认真审核研究生个人申请，根据研究生思想品德和课程学习、科研实践、创新能力与社会活动总得分情况，在学校下达的奖学金比例的范围内，确定各等级学业奖学金的名单，并在学院内公示。评定结果经公示无异议后报研究生院。</w:t>
      </w:r>
    </w:p>
    <w:p w:rsidR="007778F7" w:rsidRDefault="00D348D3">
      <w:pPr>
        <w:widowControl/>
        <w:shd w:val="clear" w:color="auto" w:fill="FFFFFF"/>
        <w:spacing w:line="293" w:lineRule="atLeast"/>
        <w:ind w:firstLine="320"/>
        <w:jc w:val="left"/>
        <w:rPr>
          <w:rFonts w:ascii="宋体" w:eastAsia="宋体" w:hAnsi="宋体" w:cs="宋体"/>
          <w:kern w:val="0"/>
          <w:sz w:val="24"/>
          <w:szCs w:val="24"/>
        </w:rPr>
      </w:pPr>
      <w:r>
        <w:rPr>
          <w:rFonts w:ascii="仿宋_GB2312" w:eastAsia="仿宋_GB2312" w:hAnsi="宋体" w:cs="宋体" w:hint="eastAsia"/>
          <w:kern w:val="0"/>
          <w:sz w:val="32"/>
          <w:szCs w:val="32"/>
        </w:rPr>
        <w:lastRenderedPageBreak/>
        <w:t>3.研究生院核准。</w:t>
      </w: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黑体" w:eastAsia="黑体" w:hAnsi="黑体" w:cs="宋体" w:hint="eastAsia"/>
          <w:b/>
          <w:bCs/>
          <w:kern w:val="0"/>
          <w:sz w:val="32"/>
          <w:szCs w:val="32"/>
        </w:rPr>
        <w:t>第五章</w:t>
      </w:r>
      <w:r>
        <w:rPr>
          <w:rFonts w:ascii="Calibri" w:eastAsia="黑体" w:hAnsi="Calibri" w:cs="Calibri"/>
          <w:b/>
          <w:bCs/>
          <w:kern w:val="0"/>
          <w:sz w:val="32"/>
          <w:szCs w:val="32"/>
        </w:rPr>
        <w:t>  </w:t>
      </w:r>
      <w:r>
        <w:rPr>
          <w:rFonts w:ascii="黑体" w:eastAsia="黑体" w:hAnsi="黑体" w:cs="宋体" w:hint="eastAsia"/>
          <w:b/>
          <w:bCs/>
          <w:kern w:val="0"/>
          <w:sz w:val="32"/>
          <w:szCs w:val="32"/>
        </w:rPr>
        <w:t>发放与管理</w:t>
      </w:r>
    </w:p>
    <w:p w:rsidR="007778F7" w:rsidRDefault="00D348D3">
      <w:pPr>
        <w:widowControl/>
        <w:shd w:val="clear" w:color="auto" w:fill="FFFFFF"/>
        <w:spacing w:line="293" w:lineRule="atLeast"/>
        <w:ind w:firstLine="643"/>
        <w:jc w:val="left"/>
        <w:rPr>
          <w:rFonts w:ascii="宋体" w:eastAsia="宋体" w:hAnsi="宋体" w:cs="宋体"/>
          <w:kern w:val="0"/>
          <w:sz w:val="24"/>
          <w:szCs w:val="24"/>
        </w:rPr>
      </w:pPr>
      <w:r>
        <w:rPr>
          <w:rFonts w:ascii="仿宋_GB2312" w:eastAsia="仿宋_GB2312" w:hAnsi="宋体" w:cs="宋体" w:hint="eastAsia"/>
          <w:b/>
          <w:bCs/>
          <w:kern w:val="0"/>
          <w:sz w:val="32"/>
          <w:szCs w:val="32"/>
        </w:rPr>
        <w:t>第十条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研究生学业奖学金发放按《南京理工大学研究生奖助体系改革实施方案（试行）》文件精神执行。</w:t>
      </w:r>
    </w:p>
    <w:p w:rsidR="007778F7" w:rsidRDefault="00D348D3">
      <w:pPr>
        <w:widowControl/>
        <w:shd w:val="clear" w:color="auto" w:fill="FFFFFF"/>
        <w:spacing w:line="293" w:lineRule="atLeast"/>
        <w:ind w:firstLine="643"/>
        <w:jc w:val="left"/>
        <w:rPr>
          <w:rFonts w:ascii="宋体" w:eastAsia="宋体" w:hAnsi="宋体" w:cs="宋体"/>
          <w:kern w:val="0"/>
          <w:sz w:val="24"/>
          <w:szCs w:val="24"/>
        </w:rPr>
      </w:pP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研究生学业奖学金管理按《南京理工大学研究生奖助体系改革实施方案（试行）》文件精神执行。</w:t>
      </w:r>
    </w:p>
    <w:p w:rsidR="007778F7" w:rsidRDefault="00D348D3">
      <w:pPr>
        <w:widowControl/>
        <w:shd w:val="clear" w:color="auto" w:fill="FFFFFF"/>
        <w:spacing w:line="330" w:lineRule="atLeast"/>
        <w:jc w:val="center"/>
        <w:rPr>
          <w:rFonts w:ascii="宋体" w:eastAsia="宋体" w:hAnsi="宋体" w:cs="宋体"/>
          <w:kern w:val="0"/>
          <w:sz w:val="24"/>
          <w:szCs w:val="24"/>
        </w:rPr>
      </w:pPr>
      <w:r>
        <w:rPr>
          <w:rFonts w:ascii="黑体" w:eastAsia="黑体" w:hAnsi="黑体" w:cs="宋体" w:hint="eastAsia"/>
          <w:b/>
          <w:bCs/>
          <w:kern w:val="0"/>
          <w:sz w:val="32"/>
          <w:szCs w:val="32"/>
        </w:rPr>
        <w:t>第六章 其他</w:t>
      </w:r>
    </w:p>
    <w:p w:rsidR="007778F7" w:rsidRDefault="00D348D3">
      <w:pPr>
        <w:widowControl/>
        <w:shd w:val="clear" w:color="auto" w:fill="FFFFFF"/>
        <w:spacing w:line="293" w:lineRule="atLeast"/>
        <w:ind w:firstLine="643"/>
        <w:jc w:val="left"/>
        <w:rPr>
          <w:rFonts w:ascii="宋体" w:eastAsia="宋体" w:hAnsi="宋体" w:cs="宋体"/>
          <w:kern w:val="0"/>
          <w:sz w:val="24"/>
          <w:szCs w:val="24"/>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研究生学业奖学金异议申诉</w:t>
      </w:r>
    </w:p>
    <w:p w:rsidR="007778F7" w:rsidRDefault="00D348D3">
      <w:pPr>
        <w:widowControl/>
        <w:shd w:val="clear" w:color="auto" w:fill="FFFFFF"/>
        <w:spacing w:line="293" w:lineRule="atLeast"/>
        <w:ind w:firstLine="640"/>
        <w:jc w:val="left"/>
        <w:rPr>
          <w:rFonts w:ascii="宋体" w:eastAsia="宋体" w:hAnsi="宋体" w:cs="宋体"/>
          <w:kern w:val="0"/>
          <w:sz w:val="24"/>
          <w:szCs w:val="24"/>
        </w:rPr>
      </w:pPr>
      <w:r>
        <w:rPr>
          <w:rFonts w:ascii="仿宋_GB2312" w:eastAsia="仿宋_GB2312" w:hAnsi="宋体" w:cs="宋体" w:hint="eastAsia"/>
          <w:kern w:val="0"/>
          <w:sz w:val="32"/>
          <w:szCs w:val="32"/>
        </w:rPr>
        <w:t>研究生对学业奖学金评定结果持有异议，可在评审结果公示期内向材料学院学业奖学金评定领导小组提出书面申诉，材料学院学业奖学金评定领导小组在5个工作日内</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答复。若研究生对答复仍有异议，可在材料学院答复后5个工作日内向研究生院提出申诉，研究生院审核后提出处理意见，报主管校长批准，通知研究生本人和学院。此意见为学校最终处理意见。</w:t>
      </w:r>
    </w:p>
    <w:p w:rsidR="007778F7" w:rsidRDefault="00D348D3">
      <w:pPr>
        <w:widowControl/>
        <w:shd w:val="clear" w:color="auto" w:fill="FFFFFF"/>
        <w:spacing w:line="293" w:lineRule="atLeast"/>
        <w:ind w:firstLine="643"/>
        <w:jc w:val="left"/>
        <w:rPr>
          <w:rFonts w:ascii="宋体" w:eastAsia="宋体" w:hAnsi="宋体" w:cs="宋体"/>
          <w:kern w:val="0"/>
          <w:sz w:val="24"/>
          <w:szCs w:val="24"/>
        </w:rPr>
      </w:pPr>
      <w:r>
        <w:rPr>
          <w:rFonts w:ascii="仿宋_GB2312" w:eastAsia="仿宋_GB2312" w:hAnsi="宋体" w:cs="宋体" w:hint="eastAsia"/>
          <w:b/>
          <w:bCs/>
          <w:kern w:val="0"/>
          <w:sz w:val="32"/>
          <w:szCs w:val="32"/>
        </w:rPr>
        <w:t>第十三条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其他未尽事项按《南京理工大学研究生奖助体系改革实施方案（试行）》文件精神执行。</w:t>
      </w:r>
    </w:p>
    <w:p w:rsidR="007778F7" w:rsidRDefault="00D348D3">
      <w:pPr>
        <w:widowControl/>
        <w:shd w:val="clear" w:color="auto" w:fill="FFFFFF"/>
        <w:spacing w:line="293" w:lineRule="atLeast"/>
        <w:ind w:firstLine="643"/>
        <w:jc w:val="left"/>
        <w:rPr>
          <w:rFonts w:ascii="宋体" w:eastAsia="宋体" w:hAnsi="宋体" w:cs="宋体"/>
          <w:kern w:val="0"/>
          <w:sz w:val="24"/>
          <w:szCs w:val="24"/>
        </w:rPr>
      </w:pPr>
      <w:r>
        <w:rPr>
          <w:rFonts w:ascii="仿宋_GB2312" w:eastAsia="仿宋_GB2312" w:hAnsi="宋体" w:cs="宋体" w:hint="eastAsia"/>
          <w:b/>
          <w:bCs/>
          <w:kern w:val="0"/>
          <w:sz w:val="32"/>
          <w:szCs w:val="32"/>
        </w:rPr>
        <w:t>第十四条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本细则在2014年以后入学的研究生中施行。</w:t>
      </w:r>
    </w:p>
    <w:p w:rsidR="007778F7" w:rsidRPr="00D348D3" w:rsidRDefault="00D348D3" w:rsidP="00D348D3">
      <w:pPr>
        <w:widowControl/>
        <w:shd w:val="clear" w:color="auto" w:fill="FFFFFF"/>
        <w:spacing w:line="293" w:lineRule="atLeast"/>
        <w:ind w:firstLine="643"/>
        <w:jc w:val="left"/>
        <w:rPr>
          <w:rFonts w:ascii="宋体" w:eastAsia="宋体" w:hAnsi="宋体" w:cs="宋体"/>
          <w:kern w:val="0"/>
          <w:sz w:val="24"/>
          <w:szCs w:val="24"/>
        </w:rPr>
      </w:pPr>
      <w:r>
        <w:rPr>
          <w:rFonts w:ascii="仿宋_GB2312" w:eastAsia="仿宋_GB2312" w:hAnsi="宋体" w:cs="宋体" w:hint="eastAsia"/>
          <w:b/>
          <w:bCs/>
          <w:kern w:val="0"/>
          <w:sz w:val="32"/>
          <w:szCs w:val="32"/>
        </w:rPr>
        <w:t>第十五条</w:t>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本细则由材料学院研究生学业奖学金评定领导小组负责解释。</w:t>
      </w:r>
    </w:p>
    <w:sectPr w:rsidR="007778F7" w:rsidRPr="00D348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1A"/>
    <w:rsid w:val="00131BB2"/>
    <w:rsid w:val="0017416B"/>
    <w:rsid w:val="00181AD2"/>
    <w:rsid w:val="003B459C"/>
    <w:rsid w:val="003C002E"/>
    <w:rsid w:val="005219A0"/>
    <w:rsid w:val="0056501A"/>
    <w:rsid w:val="007352D9"/>
    <w:rsid w:val="007778F7"/>
    <w:rsid w:val="00864649"/>
    <w:rsid w:val="00A431B1"/>
    <w:rsid w:val="00D348D3"/>
    <w:rsid w:val="00D85535"/>
    <w:rsid w:val="00EB1755"/>
    <w:rsid w:val="15BC6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285C36"/>
  <w15:docId w15:val="{7E23646B-CB20-448D-9DBA-FAB88B54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正文文本缩进 字符"/>
    <w:basedOn w:val="a0"/>
    <w:link w:val="a3"/>
    <w:uiPriority w:val="99"/>
    <w:semiHidden/>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3E873-040F-4CF9-A507-F25845A6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1190</Words>
  <Characters>6788</Characters>
  <Application>Microsoft Office Word</Application>
  <DocSecurity>0</DocSecurity>
  <Lines>56</Lines>
  <Paragraphs>15</Paragraphs>
  <ScaleCrop>false</ScaleCrop>
  <Company>NJUST</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MiaoQian</dc:creator>
  <cp:lastModifiedBy>admin</cp:lastModifiedBy>
  <cp:revision>9</cp:revision>
  <dcterms:created xsi:type="dcterms:W3CDTF">2017-08-30T02:28:00Z</dcterms:created>
  <dcterms:modified xsi:type="dcterms:W3CDTF">2021-10-06T07:14:00Z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